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341D25">
        <w:rPr>
          <w:rFonts w:eastAsia="MS Mincho"/>
          <w:b/>
          <w:bCs/>
          <w:noProof/>
          <w:sz w:val="28"/>
          <w:szCs w:val="28"/>
        </w:rPr>
        <w:t xml:space="preserve"> RAN1 #98</w:t>
      </w:r>
      <w:r w:rsidR="00300D87">
        <w:rPr>
          <w:rFonts w:eastAsia="MS Mincho"/>
          <w:b/>
          <w:bCs/>
          <w:noProof/>
          <w:sz w:val="28"/>
          <w:szCs w:val="28"/>
        </w:rPr>
        <w:t>-Bis</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A63004">
        <w:rPr>
          <w:rFonts w:eastAsia="MS Mincho"/>
          <w:b/>
          <w:bCs/>
          <w:noProof/>
          <w:sz w:val="28"/>
          <w:szCs w:val="28"/>
        </w:rPr>
        <w:t>1911060</w:t>
      </w:r>
      <w:bookmarkStart w:id="0" w:name="_GoBack"/>
      <w:bookmarkEnd w:id="0"/>
    </w:p>
    <w:p w:rsidR="00005C7D" w:rsidRPr="00252769" w:rsidRDefault="00300D87"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Chongqing</w:t>
      </w:r>
      <w:r w:rsidR="00005C7D" w:rsidRPr="00252769">
        <w:rPr>
          <w:rFonts w:eastAsia="MS Mincho"/>
          <w:b/>
          <w:bCs/>
          <w:noProof/>
          <w:sz w:val="28"/>
          <w:szCs w:val="28"/>
          <w:lang w:eastAsia="en-US"/>
        </w:rPr>
        <w:t xml:space="preserve">, </w:t>
      </w:r>
      <w:r>
        <w:rPr>
          <w:rFonts w:eastAsia="MS Mincho"/>
          <w:b/>
          <w:bCs/>
          <w:noProof/>
          <w:sz w:val="28"/>
          <w:szCs w:val="28"/>
          <w:lang w:eastAsia="en-US"/>
        </w:rPr>
        <w:t>China, October 14</w:t>
      </w:r>
      <w:r w:rsidR="00341D25">
        <w:rPr>
          <w:rFonts w:eastAsia="MS Mincho"/>
          <w:b/>
          <w:bCs/>
          <w:noProof/>
          <w:sz w:val="28"/>
          <w:szCs w:val="28"/>
          <w:vertAlign w:val="superscript"/>
          <w:lang w:eastAsia="en-US"/>
        </w:rPr>
        <w:t>th</w:t>
      </w:r>
      <w:r>
        <w:rPr>
          <w:rFonts w:eastAsia="MS Mincho"/>
          <w:b/>
          <w:bCs/>
          <w:noProof/>
          <w:sz w:val="28"/>
          <w:szCs w:val="28"/>
          <w:lang w:eastAsia="en-US"/>
        </w:rPr>
        <w:t xml:space="preserve"> – 20</w:t>
      </w:r>
      <w:r w:rsidR="00005C7D" w:rsidRPr="00252769">
        <w:rPr>
          <w:rFonts w:eastAsia="MS Mincho"/>
          <w:b/>
          <w:bCs/>
          <w:noProof/>
          <w:sz w:val="28"/>
          <w:szCs w:val="28"/>
          <w:vertAlign w:val="superscript"/>
          <w:lang w:eastAsia="en-US"/>
        </w:rPr>
        <w:t>th</w:t>
      </w:r>
      <w:r w:rsidR="00005C7D"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C10953">
        <w:rPr>
          <w:rFonts w:eastAsia="MS Mincho"/>
          <w:b/>
          <w:bCs/>
          <w:noProof/>
          <w:sz w:val="28"/>
          <w:szCs w:val="28"/>
          <w:lang w:eastAsia="en-US"/>
        </w:rPr>
        <w:t>7.2.13.1</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C522D8">
        <w:rPr>
          <w:rFonts w:eastAsia="MS Mincho"/>
          <w:b/>
          <w:bCs/>
          <w:noProof/>
          <w:sz w:val="28"/>
          <w:szCs w:val="28"/>
          <w:lang w:eastAsia="en-US"/>
        </w:rPr>
        <w:t>On UL Power Control for NN</w:t>
      </w:r>
      <w:r w:rsidR="00C10953">
        <w:rPr>
          <w:rFonts w:eastAsia="MS Mincho"/>
          <w:b/>
          <w:bCs/>
          <w:noProof/>
          <w:sz w:val="28"/>
          <w:szCs w:val="28"/>
          <w:lang w:eastAsia="en-US"/>
        </w:rPr>
        <w:t>-DC</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856AA4" w:rsidRDefault="009120A3" w:rsidP="00856AA4">
      <w:r>
        <w:t xml:space="preserve">In </w:t>
      </w:r>
      <w:r w:rsidR="0025296E">
        <w:t>RAN1 #98 [1]</w:t>
      </w:r>
      <w:r>
        <w:t xml:space="preserve">, </w:t>
      </w:r>
      <w:r w:rsidR="00856AA4">
        <w:t>the following contents are agreed:</w:t>
      </w:r>
    </w:p>
    <w:p w:rsidR="00856AA4" w:rsidRDefault="00856AA4" w:rsidP="00856AA4">
      <w:r w:rsidRPr="002534FE">
        <w:rPr>
          <w:highlight w:val="green"/>
        </w:rPr>
        <w:t>Agreements</w:t>
      </w:r>
      <w:r>
        <w:t>:</w:t>
      </w:r>
    </w:p>
    <w:p w:rsidR="00856AA4" w:rsidRDefault="00856AA4" w:rsidP="00412189">
      <w:pPr>
        <w:numPr>
          <w:ilvl w:val="0"/>
          <w:numId w:val="4"/>
        </w:numPr>
      </w:pPr>
      <w:r w:rsidRPr="002534FE">
        <w:t xml:space="preserve">Aim to reuse the existing CA power determination for uplink transmissions on CC(s) in a same CG. </w:t>
      </w:r>
    </w:p>
    <w:p w:rsidR="00856AA4" w:rsidRPr="002534FE" w:rsidRDefault="00856AA4" w:rsidP="00856AA4">
      <w:r w:rsidRPr="00856AA4">
        <w:rPr>
          <w:highlight w:val="green"/>
        </w:rPr>
        <w:t>Agreements</w:t>
      </w:r>
      <w:r>
        <w:t>:</w:t>
      </w:r>
    </w:p>
    <w:p w:rsidR="004950AF" w:rsidRPr="00B743A2" w:rsidRDefault="00412189" w:rsidP="00412189">
      <w:pPr>
        <w:numPr>
          <w:ilvl w:val="0"/>
          <w:numId w:val="4"/>
        </w:numPr>
      </w:pPr>
      <w:r w:rsidRPr="00B743A2">
        <w:t xml:space="preserve">Considering the following two alternatives for semi-static power sharing with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MCG</m:t>
            </m:r>
          </m:sub>
        </m:sSub>
      </m:oMath>
      <w:r w:rsidRPr="00B743A2">
        <w:t xml:space="preserv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SCG</m:t>
            </m:r>
          </m:sub>
        </m:sSub>
        <m:r>
          <m:rPr>
            <m:sty m:val="p"/>
          </m:rP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Total</m:t>
            </m:r>
          </m:sub>
          <m:sup>
            <m:r>
              <w:rPr>
                <w:rFonts w:ascii="Cambria Math" w:hAnsi="Cambria Math"/>
              </w:rPr>
              <m:t>NN</m:t>
            </m:r>
            <m:r>
              <m:rPr>
                <m:sty m:val="p"/>
              </m:rPr>
              <w:rPr>
                <w:rFonts w:ascii="Cambria Math" w:hAnsi="Cambria Math"/>
              </w:rPr>
              <m:t>- </m:t>
            </m:r>
            <m:r>
              <w:rPr>
                <w:rFonts w:ascii="Cambria Math" w:hAnsi="Cambria Math"/>
              </w:rPr>
              <m:t>DC</m:t>
            </m:r>
          </m:sup>
        </m:sSubSup>
      </m:oMath>
    </w:p>
    <w:p w:rsidR="004950AF" w:rsidRPr="00B743A2" w:rsidRDefault="00412189" w:rsidP="00412189">
      <w:pPr>
        <w:numPr>
          <w:ilvl w:val="1"/>
          <w:numId w:val="4"/>
        </w:numPr>
        <w:rPr>
          <w:sz w:val="22"/>
          <w:szCs w:val="20"/>
        </w:rPr>
      </w:pPr>
      <w:r w:rsidRPr="00B743A2">
        <w:rPr>
          <w:sz w:val="22"/>
          <w:szCs w:val="20"/>
        </w:rPr>
        <w:t>Alt.1: For the uplink transmission in MCG, the UE checks the semi-statically configured direction of the overlapping symbols of all serving cells of SCG, and vice versa.</w:t>
      </w:r>
    </w:p>
    <w:p w:rsidR="004950AF" w:rsidRPr="00B743A2" w:rsidRDefault="00412189" w:rsidP="00412189">
      <w:pPr>
        <w:numPr>
          <w:ilvl w:val="2"/>
          <w:numId w:val="4"/>
        </w:numPr>
        <w:rPr>
          <w:sz w:val="22"/>
          <w:szCs w:val="20"/>
        </w:rPr>
      </w:pPr>
      <w:r w:rsidRPr="00B743A2">
        <w:rPr>
          <w:sz w:val="22"/>
          <w:szCs w:val="20"/>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in MCG such that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r>
          <m:rPr>
            <m:sty m:val="p"/>
          </m:rPr>
          <w:rPr>
            <w:rFonts w:ascii="Cambria Math" w:hAnsi="Cambria Math"/>
            <w:sz w:val="22"/>
            <w:szCs w:val="20"/>
          </w:rPr>
          <m:t>≤</m:t>
        </m:r>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 </w:t>
      </w:r>
    </w:p>
    <w:p w:rsidR="004950AF" w:rsidRPr="00B743A2" w:rsidRDefault="00412189" w:rsidP="00412189">
      <w:pPr>
        <w:numPr>
          <w:ilvl w:val="2"/>
          <w:numId w:val="4"/>
        </w:numPr>
        <w:rPr>
          <w:sz w:val="22"/>
          <w:szCs w:val="20"/>
        </w:rPr>
      </w:pPr>
      <w:r w:rsidRPr="00B743A2">
        <w:rPr>
          <w:sz w:val="22"/>
          <w:szCs w:val="20"/>
        </w:rPr>
        <w:t xml:space="preserve">Otherwise (i.e. collides with only semi-static ‘DL’ symbols on all CCs of SCG),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 can be up to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MCG</m:t>
            </m:r>
          </m:sub>
          <m:sup>
            <m:r>
              <m:rPr>
                <m:sty m:val="p"/>
              </m:rPr>
              <w:rPr>
                <w:rFonts w:ascii="Cambria Math" w:hAnsi="Cambria Math"/>
                <w:sz w:val="22"/>
                <w:szCs w:val="20"/>
              </w:rPr>
              <m:t>'</m:t>
            </m:r>
          </m:sup>
        </m:sSubSup>
      </m:oMath>
      <w:r w:rsidRPr="00B743A2">
        <w:rPr>
          <w:sz w:val="22"/>
          <w:szCs w:val="20"/>
        </w:rPr>
        <w:t xml:space="preserve"> and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SCG</m:t>
            </m:r>
          </m:sub>
        </m:sSub>
      </m:oMath>
      <w:r w:rsidRPr="00B743A2">
        <w:rPr>
          <w:sz w:val="22"/>
          <w:szCs w:val="20"/>
        </w:rPr>
        <w:t xml:space="preserve"> can be up to </w:t>
      </w:r>
      <m:oMath>
        <m:r>
          <m:rPr>
            <m:sty m:val="p"/>
          </m:rPr>
          <w:rPr>
            <w:rFonts w:ascii="Cambria Math" w:hAnsi="Cambria Math"/>
            <w:sz w:val="22"/>
            <w:szCs w:val="20"/>
          </w:rPr>
          <m:t> </m:t>
        </m:r>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SCG</m:t>
            </m:r>
          </m:sub>
          <m:sup>
            <m:r>
              <m:rPr>
                <m:sty m:val="p"/>
              </m:rPr>
              <w:rPr>
                <w:rFonts w:ascii="Cambria Math" w:hAnsi="Cambria Math"/>
                <w:sz w:val="22"/>
                <w:szCs w:val="20"/>
              </w:rPr>
              <m:t>'</m:t>
            </m:r>
          </m:sup>
        </m:sSubSup>
      </m:oMath>
      <w:r w:rsidRPr="00B743A2">
        <w:rPr>
          <w:sz w:val="22"/>
          <w:szCs w:val="20"/>
        </w:rPr>
        <w:t xml:space="preserve">  .</w:t>
      </w:r>
    </w:p>
    <w:p w:rsidR="004950AF" w:rsidRPr="00B743A2" w:rsidRDefault="00412189" w:rsidP="00412189">
      <w:pPr>
        <w:numPr>
          <w:ilvl w:val="3"/>
          <w:numId w:val="4"/>
        </w:numPr>
        <w:rPr>
          <w:sz w:val="22"/>
          <w:szCs w:val="20"/>
        </w:rPr>
      </w:pPr>
      <w:r w:rsidRPr="00B743A2">
        <w:rPr>
          <w:sz w:val="22"/>
          <w:szCs w:val="20"/>
        </w:rPr>
        <w:t xml:space="preserve">Alt.1-1: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MCG</m:t>
            </m:r>
          </m:sub>
          <m:sup>
            <m:r>
              <m:rPr>
                <m:sty m:val="p"/>
              </m:rPr>
              <w:rPr>
                <w:rFonts w:ascii="Cambria Math" w:hAnsi="Cambria Math"/>
                <w:sz w:val="22"/>
                <w:szCs w:val="20"/>
              </w:rPr>
              <m:t>'</m:t>
            </m:r>
          </m:sup>
        </m:sSubSup>
      </m:oMath>
      <w:r w:rsidRPr="00B743A2">
        <w:rPr>
          <w:sz w:val="22"/>
          <w:szCs w:val="20"/>
        </w:rPr>
        <w:t xml:space="preserve"> and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SCG</m:t>
            </m:r>
          </m:sub>
          <m:sup>
            <m:r>
              <m:rPr>
                <m:sty m:val="p"/>
              </m:rPr>
              <w:rPr>
                <w:rFonts w:ascii="Cambria Math" w:hAnsi="Cambria Math"/>
                <w:sz w:val="22"/>
                <w:szCs w:val="20"/>
              </w:rPr>
              <m:t>'</m:t>
            </m:r>
          </m:sup>
        </m:sSubSup>
      </m:oMath>
      <w:r w:rsidRPr="00B743A2">
        <w:rPr>
          <w:sz w:val="22"/>
          <w:szCs w:val="20"/>
        </w:rPr>
        <w:t xml:space="preserve">  are configured by RRC signaling. </w:t>
      </w:r>
    </w:p>
    <w:p w:rsidR="004950AF" w:rsidRPr="00B743A2" w:rsidRDefault="00412189" w:rsidP="00412189">
      <w:pPr>
        <w:numPr>
          <w:ilvl w:val="3"/>
          <w:numId w:val="4"/>
        </w:numPr>
        <w:rPr>
          <w:sz w:val="22"/>
          <w:szCs w:val="20"/>
        </w:rPr>
      </w:pPr>
      <w:r w:rsidRPr="00B743A2">
        <w:rPr>
          <w:sz w:val="22"/>
          <w:szCs w:val="20"/>
        </w:rPr>
        <w:t xml:space="preserve">Alt.1-2: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MCG</m:t>
            </m:r>
          </m:sub>
          <m:sup>
            <m:r>
              <m:rPr>
                <m:sty m:val="p"/>
              </m:rPr>
              <w:rPr>
                <w:rFonts w:ascii="Cambria Math" w:hAnsi="Cambria Math"/>
                <w:sz w:val="22"/>
                <w:szCs w:val="20"/>
              </w:rPr>
              <m:t>'</m:t>
            </m:r>
          </m:sup>
        </m:sSubSup>
      </m:oMath>
      <w:r w:rsidRPr="00B743A2">
        <w:rPr>
          <w:sz w:val="22"/>
          <w:szCs w:val="20"/>
        </w:rPr>
        <w:t xml:space="preserve"> and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SCG</m:t>
            </m:r>
          </m:sub>
          <m:sup>
            <m:r>
              <m:rPr>
                <m:sty m:val="p"/>
              </m:rPr>
              <w:rPr>
                <w:rFonts w:ascii="Cambria Math" w:hAnsi="Cambria Math"/>
                <w:sz w:val="22"/>
                <w:szCs w:val="20"/>
              </w:rPr>
              <m:t>'</m:t>
            </m:r>
          </m:sup>
        </m:sSubSup>
      </m:oMath>
      <w:r w:rsidRPr="00B743A2">
        <w:rPr>
          <w:sz w:val="22"/>
          <w:szCs w:val="20"/>
        </w:rPr>
        <w:t xml:space="preserve">  are determined by RAN4 requirement. </w:t>
      </w:r>
    </w:p>
    <w:p w:rsidR="00856AA4" w:rsidRPr="00B743A2" w:rsidRDefault="00856AA4" w:rsidP="00412189">
      <w:pPr>
        <w:pStyle w:val="a4"/>
        <w:numPr>
          <w:ilvl w:val="1"/>
          <w:numId w:val="4"/>
        </w:numPr>
        <w:rPr>
          <w:sz w:val="22"/>
          <w:szCs w:val="20"/>
        </w:rPr>
      </w:pPr>
      <w:r w:rsidRPr="00B743A2">
        <w:rPr>
          <w:sz w:val="22"/>
          <w:szCs w:val="20"/>
        </w:rPr>
        <w:t xml:space="preserve">Alt.2: For the uplink transmission in MCG and in SCG, UE limits its actual transmission power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 to be up to</w:t>
      </w:r>
      <m:oMath>
        <m:sSub>
          <m:sSubPr>
            <m:ctrlPr>
              <w:rPr>
                <w:rFonts w:ascii="Cambria Math" w:hAnsi="Cambria Math"/>
                <w:i/>
                <w:iCs/>
                <w:sz w:val="22"/>
                <w:szCs w:val="20"/>
              </w:rPr>
            </m:ctrlPr>
          </m:sSubPr>
          <m:e>
            <m:r>
              <m:rPr>
                <m:sty m:val="p"/>
              </m:rPr>
              <w:rPr>
                <w:rFonts w:ascii="Cambria Math" w:hAnsi="Cambria Math"/>
                <w:sz w:val="22"/>
                <w:szCs w:val="20"/>
              </w:rPr>
              <m:t> P</m:t>
            </m:r>
          </m:e>
          <m:sub>
            <m:r>
              <m:rPr>
                <m:sty m:val="p"/>
              </m:rPr>
              <w:rPr>
                <w:rFonts w:ascii="Cambria Math" w:hAnsi="Cambria Math"/>
                <w:sz w:val="22"/>
                <w:szCs w:val="20"/>
              </w:rPr>
              <m:t>MCG</m:t>
            </m:r>
          </m:sub>
        </m:sSub>
      </m:oMath>
      <w:r w:rsidRPr="00B743A2">
        <w:rPr>
          <w:sz w:val="22"/>
          <w:szCs w:val="20"/>
        </w:rPr>
        <w:t xml:space="preserve">and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SCG</m:t>
            </m:r>
          </m:sub>
        </m:sSub>
      </m:oMath>
      <w:r w:rsidRPr="00B743A2">
        <w:rPr>
          <w:sz w:val="22"/>
          <w:szCs w:val="20"/>
        </w:rPr>
        <w:t xml:space="preserve"> to be up to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SCG</m:t>
            </m:r>
          </m:sub>
        </m:sSub>
      </m:oMath>
    </w:p>
    <w:p w:rsidR="00DA4FB3" w:rsidRDefault="00DA4FB3" w:rsidP="00BE7765"/>
    <w:p w:rsidR="00DA4FB3" w:rsidRDefault="00DA4FB3" w:rsidP="00BE7765">
      <w:r>
        <w:t>This tdoc focus on the discussions for d</w:t>
      </w:r>
      <w:r w:rsidRPr="00DA4FB3">
        <w:t xml:space="preserve">ynamic </w:t>
      </w:r>
      <w:r>
        <w:t>power s</w:t>
      </w:r>
      <w:r w:rsidRPr="00DA4FB3">
        <w:t xml:space="preserve">haring and </w:t>
      </w:r>
      <w:r>
        <w:t>s</w:t>
      </w:r>
      <w:r w:rsidRPr="00DA4FB3">
        <w:t>emi-</w:t>
      </w:r>
      <w:r>
        <w:rPr>
          <w:rFonts w:hint="eastAsia"/>
        </w:rPr>
        <w:t>s</w:t>
      </w:r>
      <w:r w:rsidRPr="00DA4FB3">
        <w:rPr>
          <w:rFonts w:hint="eastAsia"/>
        </w:rPr>
        <w:t>tatic</w:t>
      </w:r>
      <w:r w:rsidRPr="00DA4FB3">
        <w:t xml:space="preserve"> </w:t>
      </w:r>
      <w:r>
        <w:t>power s</w:t>
      </w:r>
      <w:r w:rsidRPr="00DA4FB3">
        <w:t>haring for Rel-16 NN-DC</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C522D8">
        <w:rPr>
          <w:rFonts w:cs="Arial"/>
          <w:color w:val="000000" w:themeColor="text1"/>
        </w:rPr>
        <w:t xml:space="preserve">Dynamic </w:t>
      </w:r>
      <w:r w:rsidR="00C522D8" w:rsidRPr="00C522D8">
        <w:rPr>
          <w:rFonts w:cs="Arial"/>
          <w:color w:val="000000" w:themeColor="text1"/>
        </w:rPr>
        <w:t>Power Sharing for NN-DC</w:t>
      </w:r>
    </w:p>
    <w:p w:rsidR="00C522D8" w:rsidRDefault="00C522D8" w:rsidP="009120A3">
      <w:pPr>
        <w:spacing w:before="120"/>
        <w:rPr>
          <w:lang w:val="en-GB"/>
        </w:rPr>
      </w:pPr>
      <w:r>
        <w:t>Dynamic power sharing can increase the coverage of UE uplink. It is supported in E</w:t>
      </w:r>
      <w:r w:rsidRPr="00C522D8">
        <w:rPr>
          <w:rFonts w:hint="eastAsia"/>
        </w:rPr>
        <w:t>N-DC</w:t>
      </w:r>
      <w:r>
        <w:t xml:space="preserve"> where LTE is always prioritized over NR due to the reason that </w:t>
      </w:r>
      <w:r w:rsidRPr="0045722A">
        <w:rPr>
          <w:rFonts w:asciiTheme="majorBidi" w:hAnsiTheme="majorBidi" w:cstheme="majorBidi"/>
          <w:bCs/>
          <w:iCs/>
        </w:rPr>
        <w:t>SCG</w:t>
      </w:r>
      <w:r>
        <w:rPr>
          <w:rFonts w:asciiTheme="majorBidi" w:hAnsiTheme="majorBidi" w:cstheme="majorBidi"/>
          <w:bCs/>
          <w:iCs/>
        </w:rPr>
        <w:t xml:space="preserve"> (NR)</w:t>
      </w:r>
      <w:r w:rsidRPr="0045722A">
        <w:rPr>
          <w:rFonts w:asciiTheme="majorBidi" w:hAnsiTheme="majorBidi" w:cstheme="majorBidi"/>
          <w:bCs/>
          <w:iCs/>
        </w:rPr>
        <w:t xml:space="preserve"> has a lower priority, and it </w:t>
      </w:r>
      <w:r>
        <w:rPr>
          <w:rFonts w:asciiTheme="majorBidi" w:hAnsiTheme="majorBidi" w:cstheme="majorBidi"/>
          <w:bCs/>
          <w:iCs/>
        </w:rPr>
        <w:t>can respond faster to adapt its power based on LTE’s power</w:t>
      </w:r>
      <w:r w:rsidRPr="0045722A">
        <w:rPr>
          <w:rFonts w:asciiTheme="majorBidi" w:hAnsiTheme="majorBidi" w:cstheme="majorBidi"/>
          <w:bCs/>
          <w:iCs/>
        </w:rPr>
        <w:t>.</w:t>
      </w:r>
      <w:r>
        <w:rPr>
          <w:rFonts w:asciiTheme="majorBidi" w:hAnsiTheme="majorBidi" w:cstheme="majorBidi"/>
          <w:bCs/>
          <w:iCs/>
        </w:rPr>
        <w:t xml:space="preserve"> In real world deployment, synchronous EN-DC is assumed. For NN-DC, dynamic power sharing can be very complex for asynchronous case due to various SCS and timing uncertainty for slot offset. </w:t>
      </w:r>
      <w:r>
        <w:rPr>
          <w:lang w:val="en-GB"/>
        </w:rPr>
        <w:t>P</w:t>
      </w:r>
      <w:r w:rsidRPr="00846BEE">
        <w:rPr>
          <w:lang w:val="en-GB"/>
        </w:rPr>
        <w:t xml:space="preserve">ower scaling due to </w:t>
      </w:r>
      <w:r>
        <w:rPr>
          <w:lang w:val="en-GB"/>
        </w:rPr>
        <w:t xml:space="preserve">uncertain </w:t>
      </w:r>
      <w:r w:rsidRPr="00846BEE">
        <w:rPr>
          <w:lang w:val="en-GB"/>
        </w:rPr>
        <w:t>simultaneous transmissions</w:t>
      </w:r>
      <w:r>
        <w:rPr>
          <w:lang w:val="en-GB"/>
        </w:rPr>
        <w:t xml:space="preserve"> in time</w:t>
      </w:r>
      <w:r w:rsidRPr="00846BEE">
        <w:rPr>
          <w:lang w:val="en-GB"/>
        </w:rPr>
        <w:t xml:space="preserve"> </w:t>
      </w:r>
      <w:r>
        <w:rPr>
          <w:lang w:val="en-GB"/>
        </w:rPr>
        <w:t xml:space="preserve">can compromise the </w:t>
      </w:r>
      <w:r w:rsidRPr="00846BEE">
        <w:rPr>
          <w:lang w:val="en-GB"/>
        </w:rPr>
        <w:t xml:space="preserve">transmission’s </w:t>
      </w:r>
      <w:r>
        <w:rPr>
          <w:lang w:val="en-GB"/>
        </w:rPr>
        <w:t xml:space="preserve">phase continuity. </w:t>
      </w:r>
    </w:p>
    <w:p w:rsidR="00D569AD" w:rsidRDefault="00D569AD" w:rsidP="009120A3">
      <w:pPr>
        <w:spacing w:before="120"/>
        <w:rPr>
          <w:lang w:val="en-GB"/>
        </w:rPr>
      </w:pPr>
    </w:p>
    <w:p w:rsidR="00D569AD" w:rsidRDefault="00D569AD" w:rsidP="00D569AD">
      <w:pPr>
        <w:jc w:val="both"/>
        <w:rPr>
          <w:szCs w:val="22"/>
        </w:rPr>
      </w:pPr>
      <w:r>
        <w:rPr>
          <w:szCs w:val="22"/>
        </w:rPr>
        <w:t xml:space="preserve">Besides, </w:t>
      </w:r>
      <w:r w:rsidRPr="00F71A73">
        <w:rPr>
          <w:szCs w:val="22"/>
        </w:rPr>
        <w:t>async</w:t>
      </w:r>
      <w:r>
        <w:rPr>
          <w:szCs w:val="22"/>
        </w:rPr>
        <w:t>hronous</w:t>
      </w:r>
      <w:r w:rsidRPr="00F71A73">
        <w:rPr>
          <w:szCs w:val="22"/>
        </w:rPr>
        <w:t xml:space="preserve"> DC is supportable with an architecture that has distinct hardware blocks </w:t>
      </w:r>
      <w:r>
        <w:rPr>
          <w:szCs w:val="22"/>
        </w:rPr>
        <w:t>belonging</w:t>
      </w:r>
      <w:r w:rsidRPr="00F71A73">
        <w:rPr>
          <w:szCs w:val="22"/>
        </w:rPr>
        <w:t xml:space="preserve"> to </w:t>
      </w:r>
      <w:r>
        <w:rPr>
          <w:szCs w:val="22"/>
        </w:rPr>
        <w:t>the two cell groups</w:t>
      </w:r>
      <w:r w:rsidRPr="00F71A73">
        <w:rPr>
          <w:szCs w:val="22"/>
        </w:rPr>
        <w:t xml:space="preserve">. </w:t>
      </w:r>
      <w:r>
        <w:rPr>
          <w:szCs w:val="22"/>
        </w:rPr>
        <w:t xml:space="preserve">The </w:t>
      </w:r>
      <w:r w:rsidRPr="00F71A73">
        <w:rPr>
          <w:szCs w:val="22"/>
        </w:rPr>
        <w:t xml:space="preserve">fundamental assumption </w:t>
      </w:r>
      <w:r>
        <w:rPr>
          <w:szCs w:val="22"/>
        </w:rPr>
        <w:t xml:space="preserve">is </w:t>
      </w:r>
      <w:r w:rsidRPr="00F71A73">
        <w:rPr>
          <w:szCs w:val="22"/>
        </w:rPr>
        <w:t>that the two hardware blocks used for async</w:t>
      </w:r>
      <w:r>
        <w:rPr>
          <w:szCs w:val="22"/>
        </w:rPr>
        <w:t xml:space="preserve">hronous DC are clearly separable and </w:t>
      </w:r>
      <w:r w:rsidRPr="00F71A73">
        <w:rPr>
          <w:szCs w:val="22"/>
        </w:rPr>
        <w:t xml:space="preserve">no pre-existing demand to have a fast interface across the blocks carrying dynamic information. </w:t>
      </w:r>
      <w:r>
        <w:rPr>
          <w:szCs w:val="22"/>
        </w:rPr>
        <w:t>With these assumptions, we have the following proposal:</w:t>
      </w:r>
    </w:p>
    <w:p w:rsidR="00D569AD" w:rsidRDefault="00D569AD" w:rsidP="00D569AD">
      <w:pPr>
        <w:jc w:val="both"/>
        <w:rPr>
          <w:szCs w:val="22"/>
        </w:rPr>
      </w:pPr>
    </w:p>
    <w:p w:rsidR="00D569AD" w:rsidRDefault="00D569AD" w:rsidP="00D569AD">
      <w:pPr>
        <w:jc w:val="both"/>
        <w:rPr>
          <w:szCs w:val="22"/>
        </w:rPr>
      </w:pPr>
      <w:r>
        <w:rPr>
          <w:b/>
          <w:u w:val="single"/>
        </w:rPr>
        <w:t>Proposal 1</w:t>
      </w:r>
      <w:r w:rsidRPr="00D569AD">
        <w:rPr>
          <w:b/>
          <w:u w:val="single"/>
        </w:rPr>
        <w:t xml:space="preserve">: </w:t>
      </w:r>
      <w:r>
        <w:rPr>
          <w:b/>
          <w:u w:val="single"/>
        </w:rPr>
        <w:t>Dynamic power sharing</w:t>
      </w:r>
      <w:r w:rsidRPr="00D569AD">
        <w:rPr>
          <w:b/>
          <w:u w:val="single"/>
        </w:rPr>
        <w:t xml:space="preserve"> should not be supported</w:t>
      </w:r>
      <w:r>
        <w:rPr>
          <w:b/>
          <w:u w:val="single"/>
        </w:rPr>
        <w:t xml:space="preserve"> in Rel-16</w:t>
      </w:r>
      <w:r w:rsidR="00C811F6">
        <w:rPr>
          <w:b/>
          <w:u w:val="single"/>
        </w:rPr>
        <w:t xml:space="preserve"> </w:t>
      </w:r>
      <w:r w:rsidR="00C811F6" w:rsidRPr="00D569AD">
        <w:rPr>
          <w:b/>
          <w:u w:val="single"/>
        </w:rPr>
        <w:t>(slot-based)</w:t>
      </w:r>
      <w:r w:rsidR="00C811F6">
        <w:rPr>
          <w:b/>
          <w:u w:val="single"/>
        </w:rPr>
        <w:t xml:space="preserve"> </w:t>
      </w:r>
      <w:r>
        <w:rPr>
          <w:b/>
          <w:u w:val="single"/>
        </w:rPr>
        <w:t xml:space="preserve"> a</w:t>
      </w:r>
      <w:r w:rsidRPr="00D569AD">
        <w:rPr>
          <w:b/>
          <w:u w:val="single"/>
        </w:rPr>
        <w:t>sy</w:t>
      </w:r>
      <w:r>
        <w:rPr>
          <w:b/>
          <w:u w:val="single"/>
        </w:rPr>
        <w:t>nchronous NN-DC</w:t>
      </w:r>
      <w:r w:rsidRPr="00D569AD">
        <w:rPr>
          <w:b/>
          <w:u w:val="single"/>
        </w:rPr>
        <w:t>.</w:t>
      </w:r>
    </w:p>
    <w:p w:rsidR="00D569AD" w:rsidRDefault="00D569AD" w:rsidP="00D569AD">
      <w:pPr>
        <w:jc w:val="both"/>
        <w:rPr>
          <w:szCs w:val="22"/>
        </w:rPr>
      </w:pPr>
    </w:p>
    <w:p w:rsidR="00D569AD" w:rsidRDefault="00D569AD" w:rsidP="00D569AD">
      <w:pPr>
        <w:jc w:val="both"/>
      </w:pPr>
      <w:r>
        <w:rPr>
          <w:szCs w:val="22"/>
        </w:rPr>
        <w:lastRenderedPageBreak/>
        <w:t xml:space="preserve">For (slot-based) synchronous NN-DC, it is more possible to support dynamic power sharing. To ensure clear rules for </w:t>
      </w:r>
      <w:r>
        <w:t>dynamic power sharing, ‘l</w:t>
      </w:r>
      <w:r w:rsidRPr="00D569AD">
        <w:t>ook-ahead’ operation and prioritization order application</w:t>
      </w:r>
      <w:r>
        <w:t xml:space="preserve"> need to be specified. </w:t>
      </w:r>
    </w:p>
    <w:p w:rsidR="00D569AD" w:rsidRDefault="00D569AD" w:rsidP="00D569AD">
      <w:pPr>
        <w:jc w:val="both"/>
      </w:pPr>
    </w:p>
    <w:p w:rsidR="00D569AD" w:rsidRDefault="00D569AD" w:rsidP="00D569AD">
      <w:pPr>
        <w:jc w:val="both"/>
      </w:pPr>
      <w:r w:rsidRPr="00D569AD">
        <w:t>‘</w:t>
      </w:r>
      <w:r>
        <w:t>L</w:t>
      </w:r>
      <w:r w:rsidRPr="00D569AD">
        <w:t xml:space="preserve">ook-ahead’ operation is </w:t>
      </w:r>
      <w:r w:rsidR="00E5123C">
        <w:t xml:space="preserve">a </w:t>
      </w:r>
      <w:r w:rsidRPr="00D569AD">
        <w:t xml:space="preserve">kind of UE capability that can determine transmission power of a signal/channel at a given time instance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Pr="00D569AD">
        <w:t xml:space="preserve"> </w:t>
      </w:r>
      <w:r w:rsidR="00C811F6">
        <w:t xml:space="preserve">while taking into account the </w:t>
      </w:r>
      <w:r w:rsidRPr="00D569AD">
        <w:t xml:space="preserve">overlapped later UL transmissions that are scheduled by a DCI transmitted until time instance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offset</m:t>
            </m:r>
          </m:sub>
        </m:sSub>
      </m:oMath>
      <w:r w:rsidRPr="00D569AD">
        <w:t xml:space="preserve">. </w:t>
      </w:r>
      <w:r>
        <w:t xml:space="preserve">In our opinion, </w:t>
      </w:r>
      <m:oMath>
        <m:sSub>
          <m:sSubPr>
            <m:ctrlPr>
              <w:rPr>
                <w:rFonts w:ascii="Cambria Math" w:hAnsi="Cambria Math"/>
              </w:rPr>
            </m:ctrlPr>
          </m:sSubPr>
          <m:e>
            <m:r>
              <w:rPr>
                <w:rFonts w:ascii="Cambria Math" w:hAnsi="Cambria Math"/>
              </w:rPr>
              <m:t>T</m:t>
            </m:r>
          </m:e>
          <m:sub>
            <m:r>
              <w:rPr>
                <w:rFonts w:ascii="Cambria Math" w:hAnsi="Cambria Math"/>
              </w:rPr>
              <m:t>offset</m:t>
            </m:r>
          </m:sub>
        </m:sSub>
      </m:oMath>
      <w:r>
        <w:t xml:space="preserve"> can be </w:t>
      </w:r>
      <w:r w:rsidRPr="00D569AD">
        <w:t>T_proc specified in Rel</w:t>
      </w:r>
      <w:r w:rsidR="001F07FD">
        <w:t>-</w:t>
      </w:r>
      <w:r w:rsidRPr="00D569AD">
        <w:t>15 for UCI multiplexing related UE procedures</w:t>
      </w:r>
      <w:r>
        <w:t xml:space="preserve">, where </w:t>
      </w:r>
      <w:r w:rsidRPr="00D569AD">
        <w:t>T_proc</w:t>
      </w:r>
      <w:r>
        <w:t xml:space="preserve"> of the smallest SCS carrier should be applied to assure UE’s processing. Therefore, we have the following proposal:</w:t>
      </w:r>
    </w:p>
    <w:p w:rsidR="00D569AD" w:rsidRDefault="00D569AD" w:rsidP="00D569AD">
      <w:pPr>
        <w:jc w:val="both"/>
      </w:pPr>
    </w:p>
    <w:p w:rsidR="00D569AD" w:rsidRPr="00D569AD" w:rsidRDefault="00D569AD" w:rsidP="00D569AD">
      <w:pPr>
        <w:jc w:val="both"/>
        <w:rPr>
          <w:b/>
          <w:u w:val="single"/>
        </w:rPr>
      </w:pPr>
      <w:r>
        <w:rPr>
          <w:b/>
          <w:u w:val="single"/>
        </w:rPr>
        <w:t>Proposal 2</w:t>
      </w:r>
      <w:r w:rsidRPr="00D569AD">
        <w:rPr>
          <w:b/>
          <w:u w:val="single"/>
        </w:rPr>
        <w:t xml:space="preserve">: </w:t>
      </w:r>
      <w:r>
        <w:rPr>
          <w:b/>
          <w:u w:val="single"/>
        </w:rPr>
        <w:t>Dynamic power sharing can</w:t>
      </w:r>
      <w:r w:rsidRPr="00D569AD">
        <w:rPr>
          <w:b/>
          <w:u w:val="single"/>
        </w:rPr>
        <w:t xml:space="preserve"> be supported</w:t>
      </w:r>
      <w:r>
        <w:rPr>
          <w:b/>
          <w:u w:val="single"/>
        </w:rPr>
        <w:t xml:space="preserve"> in Rel-16</w:t>
      </w:r>
      <w:r w:rsidR="00C811F6">
        <w:rPr>
          <w:b/>
          <w:u w:val="single"/>
        </w:rPr>
        <w:t xml:space="preserve"> </w:t>
      </w:r>
      <w:r w:rsidR="00C811F6" w:rsidRPr="00D569AD">
        <w:rPr>
          <w:b/>
          <w:u w:val="single"/>
        </w:rPr>
        <w:t>(slot-based)</w:t>
      </w:r>
      <w:r>
        <w:rPr>
          <w:b/>
          <w:u w:val="single"/>
        </w:rPr>
        <w:t xml:space="preserve"> s</w:t>
      </w:r>
      <w:r w:rsidRPr="00D569AD">
        <w:rPr>
          <w:b/>
          <w:u w:val="single"/>
        </w:rPr>
        <w:t>y</w:t>
      </w:r>
      <w:r>
        <w:rPr>
          <w:b/>
          <w:u w:val="single"/>
        </w:rPr>
        <w:t>nchronous NN-DC</w:t>
      </w:r>
      <w:r w:rsidRPr="00D569AD">
        <w:rPr>
          <w:b/>
          <w:u w:val="single"/>
        </w:rPr>
        <w:t xml:space="preserve"> with look-ahead time offset  </w:t>
      </w:r>
      <m:oMath>
        <m:sSub>
          <m:sSubPr>
            <m:ctrlPr>
              <w:rPr>
                <w:rFonts w:ascii="Cambria Math" w:hAnsi="Cambria Math"/>
                <w:b/>
                <w:u w:val="single"/>
              </w:rPr>
            </m:ctrlPr>
          </m:sSubPr>
          <m:e>
            <m:r>
              <m:rPr>
                <m:sty m:val="bi"/>
              </m:rPr>
              <w:rPr>
                <w:rFonts w:ascii="Cambria Math" w:hAnsi="Cambria Math"/>
                <w:u w:val="single"/>
              </w:rPr>
              <m:t>T</m:t>
            </m:r>
          </m:e>
          <m:sub>
            <m:r>
              <m:rPr>
                <m:sty m:val="bi"/>
              </m:rPr>
              <w:rPr>
                <w:rFonts w:ascii="Cambria Math" w:hAnsi="Cambria Math"/>
                <w:u w:val="single"/>
              </w:rPr>
              <m:t>offset</m:t>
            </m:r>
          </m:sub>
        </m:sSub>
      </m:oMath>
      <w:r w:rsidRPr="00D569AD">
        <w:rPr>
          <w:b/>
          <w:u w:val="single"/>
        </w:rPr>
        <w:t xml:space="preserve"> equals T_proc</w:t>
      </w:r>
      <w:r>
        <w:rPr>
          <w:b/>
          <w:u w:val="single"/>
        </w:rPr>
        <w:t xml:space="preserve"> </w:t>
      </w:r>
      <w:r w:rsidRPr="00D569AD">
        <w:rPr>
          <w:b/>
          <w:u w:val="single"/>
        </w:rPr>
        <w:t>specified in Rel15 for UCI multiplexing of the smallest SCS carrier</w:t>
      </w:r>
      <w:r>
        <w:rPr>
          <w:b/>
          <w:u w:val="single"/>
        </w:rPr>
        <w:t>.</w:t>
      </w:r>
    </w:p>
    <w:p w:rsidR="00C2646C" w:rsidRPr="00C2646C" w:rsidRDefault="00C2646C" w:rsidP="009120A3">
      <w:pPr>
        <w:spacing w:before="120"/>
        <w:rPr>
          <w:lang w:val="en-GB"/>
        </w:rPr>
      </w:pPr>
    </w:p>
    <w:p w:rsidR="00891634" w:rsidRPr="00891634" w:rsidRDefault="00891634" w:rsidP="00891634">
      <w:pPr>
        <w:spacing w:before="120"/>
      </w:pPr>
      <w:r>
        <w:t xml:space="preserve">Another important factor to enable dynamic power sharing is how to </w:t>
      </w:r>
      <w:r w:rsidRPr="00891634">
        <w:t>define the prioritization order for the overlapping UL tran</w:t>
      </w:r>
      <w:r>
        <w:t xml:space="preserve">smission in power-limited case. </w:t>
      </w:r>
    </w:p>
    <w:p w:rsidR="00891634" w:rsidRDefault="00891634" w:rsidP="009120A3">
      <w:pPr>
        <w:spacing w:before="120"/>
      </w:pPr>
    </w:p>
    <w:p w:rsidR="00DA4FB3" w:rsidRDefault="00C2646C" w:rsidP="009120A3">
      <w:pPr>
        <w:spacing w:before="120"/>
      </w:pPr>
      <w:r>
        <w:t xml:space="preserve">In feature lead’s summary </w:t>
      </w:r>
      <w:r w:rsidR="00FE66E5">
        <w:t xml:space="preserve">[2] </w:t>
      </w:r>
      <w:r>
        <w:t xml:space="preserve">(R1-1909619), several options are </w:t>
      </w:r>
      <w:r w:rsidR="00DA4FB3">
        <w:t>proposed</w:t>
      </w:r>
      <w:r>
        <w:t>:</w:t>
      </w:r>
    </w:p>
    <w:p w:rsidR="00C2646C" w:rsidRPr="00C2646C" w:rsidRDefault="00C2646C" w:rsidP="00C2646C">
      <w:pPr>
        <w:spacing w:before="120"/>
      </w:pPr>
      <w:r w:rsidRPr="00C2646C">
        <w:t xml:space="preserve">When UE is configured with </w:t>
      </w:r>
      <m:oMath>
        <m:sSub>
          <m:sSubPr>
            <m:ctrlPr>
              <w:rPr>
                <w:rFonts w:ascii="Cambria Math" w:hAnsi="Cambria Math"/>
              </w:rPr>
            </m:ctrlPr>
          </m:sSubPr>
          <m:e>
            <m:r>
              <w:rPr>
                <w:rFonts w:ascii="Cambria Math" w:hAnsi="Cambria Math"/>
              </w:rPr>
              <m:t>P</m:t>
            </m:r>
          </m:e>
          <m:sub>
            <m:r>
              <w:rPr>
                <w:rFonts w:ascii="Cambria Math" w:hAnsi="Cambria Math"/>
              </w:rPr>
              <m:t>MCG</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SCG</m:t>
            </m:r>
          </m:sub>
        </m:sSub>
        <m:r>
          <m:rPr>
            <m:sty m:val="p"/>
          </m:rPr>
          <w:rPr>
            <w:rFonts w:ascii="Cambria Math" w:hAnsi="Cambria Math"/>
          </w:rPr>
          <m:t>&gt;</m:t>
        </m:r>
        <m:sSubSup>
          <m:sSubSupPr>
            <m:ctrlPr>
              <w:rPr>
                <w:rFonts w:ascii="Cambria Math" w:hAnsi="Cambria Math"/>
              </w:rPr>
            </m:ctrlPr>
          </m:sSubSupPr>
          <m:e>
            <m:r>
              <w:rPr>
                <w:rFonts w:ascii="Cambria Math" w:hAnsi="Cambria Math"/>
              </w:rPr>
              <m:t>P</m:t>
            </m:r>
          </m:e>
          <m:sub>
            <m:r>
              <w:rPr>
                <w:rFonts w:ascii="Cambria Math" w:hAnsi="Cambria Math"/>
              </w:rPr>
              <m:t>Total</m:t>
            </m:r>
          </m:sub>
          <m:sup>
            <m:r>
              <w:rPr>
                <w:rFonts w:ascii="Cambria Math" w:hAnsi="Cambria Math"/>
              </w:rPr>
              <m:t>NR</m:t>
            </m:r>
            <m:r>
              <m:rPr>
                <m:sty m:val="p"/>
              </m:rPr>
              <w:rPr>
                <w:rFonts w:ascii="Cambria Math" w:hAnsi="Cambria Math"/>
              </w:rPr>
              <m:t>-</m:t>
            </m:r>
            <m:r>
              <w:rPr>
                <w:rFonts w:ascii="Cambria Math" w:hAnsi="Cambria Math"/>
              </w:rPr>
              <m:t>NR</m:t>
            </m:r>
            <m:r>
              <m:rPr>
                <m:sty m:val="p"/>
              </m:rPr>
              <w:rPr>
                <w:rFonts w:ascii="Cambria Math" w:hAnsi="Cambria Math"/>
              </w:rPr>
              <m:t xml:space="preserve"> </m:t>
            </m:r>
            <m:r>
              <w:rPr>
                <w:rFonts w:ascii="Cambria Math" w:hAnsi="Cambria Math"/>
              </w:rPr>
              <m:t>DC</m:t>
            </m:r>
          </m:sup>
        </m:sSubSup>
        <m:r>
          <m:rPr>
            <m:sty m:val="p"/>
          </m:rPr>
          <w:rPr>
            <w:rFonts w:ascii="Cambria Math" w:hAnsi="Cambria Math"/>
          </w:rPr>
          <m:t xml:space="preserve">  </m:t>
        </m:r>
      </m:oMath>
      <w:r w:rsidRPr="00C2646C">
        <w:t xml:space="preserve"> (i.e. dynamic power sharing operation) for NN-DC </w:t>
      </w:r>
    </w:p>
    <w:p w:rsidR="00C2646C" w:rsidRPr="00C2646C" w:rsidRDefault="00C2646C" w:rsidP="00C2646C">
      <w:pPr>
        <w:pStyle w:val="a4"/>
        <w:numPr>
          <w:ilvl w:val="0"/>
          <w:numId w:val="9"/>
        </w:numPr>
        <w:overflowPunct w:val="0"/>
        <w:autoSpaceDE w:val="0"/>
        <w:autoSpaceDN w:val="0"/>
        <w:adjustRightInd w:val="0"/>
        <w:textAlignment w:val="baseline"/>
        <w:rPr>
          <w:i/>
        </w:rPr>
      </w:pPr>
      <w:r w:rsidRPr="00C2646C">
        <w:rPr>
          <w:i/>
        </w:rPr>
        <w:t xml:space="preserve">The prioritization rule for UL channels in case of power-limited is as follows </w:t>
      </w:r>
    </w:p>
    <w:p w:rsidR="00C2646C" w:rsidRPr="00C2646C" w:rsidRDefault="00C2646C" w:rsidP="00C2646C">
      <w:pPr>
        <w:pStyle w:val="a4"/>
        <w:numPr>
          <w:ilvl w:val="1"/>
          <w:numId w:val="9"/>
        </w:numPr>
        <w:overflowPunct w:val="0"/>
        <w:autoSpaceDE w:val="0"/>
        <w:autoSpaceDN w:val="0"/>
        <w:adjustRightInd w:val="0"/>
        <w:textAlignment w:val="baseline"/>
        <w:rPr>
          <w:i/>
        </w:rPr>
      </w:pPr>
      <w:r w:rsidRPr="00C2646C">
        <w:rPr>
          <w:i/>
        </w:rPr>
        <w:t>Alt.1:</w:t>
      </w:r>
      <w:r>
        <w:rPr>
          <w:i/>
        </w:rPr>
        <w:t xml:space="preserve"> MCG&gt;SCG, and then apply Rel-15 </w:t>
      </w:r>
      <w:r w:rsidRPr="00C2646C">
        <w:rPr>
          <w:i/>
        </w:rPr>
        <w:t xml:space="preserve">rule for each CG. </w:t>
      </w:r>
    </w:p>
    <w:p w:rsidR="00C2646C" w:rsidRPr="00C2646C" w:rsidRDefault="00C2646C" w:rsidP="00C2646C">
      <w:pPr>
        <w:pStyle w:val="a4"/>
        <w:numPr>
          <w:ilvl w:val="1"/>
          <w:numId w:val="9"/>
        </w:numPr>
        <w:overflowPunct w:val="0"/>
        <w:autoSpaceDE w:val="0"/>
        <w:autoSpaceDN w:val="0"/>
        <w:adjustRightInd w:val="0"/>
        <w:textAlignment w:val="baseline"/>
        <w:rPr>
          <w:i/>
        </w:rPr>
      </w:pPr>
      <w:r w:rsidRPr="00C2646C">
        <w:rPr>
          <w:i/>
        </w:rPr>
        <w:t xml:space="preserve">Alt.2: Reusing Rel-15 CA rule across CCs of CGs </w:t>
      </w:r>
    </w:p>
    <w:p w:rsidR="00C2646C" w:rsidRPr="00C2646C" w:rsidRDefault="00C2646C" w:rsidP="00C2646C">
      <w:pPr>
        <w:pStyle w:val="a4"/>
        <w:numPr>
          <w:ilvl w:val="1"/>
          <w:numId w:val="9"/>
        </w:numPr>
        <w:overflowPunct w:val="0"/>
        <w:autoSpaceDE w:val="0"/>
        <w:autoSpaceDN w:val="0"/>
        <w:adjustRightInd w:val="0"/>
        <w:textAlignment w:val="baseline"/>
        <w:rPr>
          <w:i/>
        </w:rPr>
      </w:pPr>
      <w:r w:rsidRPr="00C2646C">
        <w:rPr>
          <w:i/>
        </w:rPr>
        <w:t>Alt.3: CG prioritization is determined by time pattern or dynamic indication, and then apply Rel-15 rule with potential update considering URLLC priority for each CG.</w:t>
      </w:r>
    </w:p>
    <w:p w:rsidR="00C2646C" w:rsidRPr="00C2646C" w:rsidRDefault="00C2646C" w:rsidP="00C2646C">
      <w:pPr>
        <w:pStyle w:val="a4"/>
        <w:numPr>
          <w:ilvl w:val="1"/>
          <w:numId w:val="9"/>
        </w:numPr>
        <w:overflowPunct w:val="0"/>
        <w:autoSpaceDE w:val="0"/>
        <w:autoSpaceDN w:val="0"/>
        <w:adjustRightInd w:val="0"/>
        <w:textAlignment w:val="baseline"/>
        <w:rPr>
          <w:i/>
        </w:rPr>
      </w:pPr>
      <w:r w:rsidRPr="00C2646C">
        <w:rPr>
          <w:i/>
        </w:rPr>
        <w:t>Note that the above prioritization order does not impact on the minimum guaranteed power if it is agreed to be supported.</w:t>
      </w:r>
    </w:p>
    <w:p w:rsidR="00891634" w:rsidRDefault="00C2646C" w:rsidP="009120A3">
      <w:pPr>
        <w:spacing w:before="120"/>
        <w:rPr>
          <w:szCs w:val="22"/>
        </w:rPr>
      </w:pPr>
      <w:r>
        <w:rPr>
          <w:szCs w:val="22"/>
        </w:rPr>
        <w:t>Given that the gains of Alt.2 and Alt.3 are unknown and the processing procedures can be quite complicate, here we support Alt. 1 and have the following proposal.</w:t>
      </w:r>
    </w:p>
    <w:p w:rsidR="00C2646C" w:rsidRDefault="00C2646C" w:rsidP="009120A3">
      <w:pPr>
        <w:spacing w:before="120"/>
        <w:rPr>
          <w:szCs w:val="22"/>
        </w:rPr>
      </w:pPr>
    </w:p>
    <w:p w:rsidR="00C91D21" w:rsidRPr="00C2646C" w:rsidRDefault="00C2646C" w:rsidP="00C2646C">
      <w:pPr>
        <w:jc w:val="both"/>
        <w:rPr>
          <w:b/>
          <w:u w:val="single"/>
        </w:rPr>
      </w:pPr>
      <w:r>
        <w:rPr>
          <w:b/>
          <w:u w:val="single"/>
        </w:rPr>
        <w:t>Proposal 3</w:t>
      </w:r>
      <w:r w:rsidRPr="00D569AD">
        <w:rPr>
          <w:b/>
          <w:u w:val="single"/>
        </w:rPr>
        <w:t xml:space="preserve">: </w:t>
      </w:r>
      <w:r>
        <w:rPr>
          <w:b/>
          <w:u w:val="single"/>
        </w:rPr>
        <w:t>For dynamic power sharing</w:t>
      </w:r>
      <w:r w:rsidR="00745851" w:rsidRPr="00C2646C">
        <w:rPr>
          <w:b/>
          <w:u w:val="single"/>
        </w:rPr>
        <w:t xml:space="preserve"> prioritization</w:t>
      </w:r>
      <w:r>
        <w:rPr>
          <w:b/>
          <w:u w:val="single"/>
        </w:rPr>
        <w:t xml:space="preserve"> in Rel-16 NN-DC</w:t>
      </w:r>
      <w:r w:rsidR="00745851" w:rsidRPr="00C2646C">
        <w:rPr>
          <w:b/>
          <w:u w:val="single"/>
        </w:rPr>
        <w:t>, prioritize MCG over SCG and reuse CA rule within CG</w:t>
      </w:r>
      <w:r>
        <w:rPr>
          <w:b/>
          <w:u w:val="single"/>
        </w:rPr>
        <w:t>.</w:t>
      </w:r>
      <w:r w:rsidR="00745851" w:rsidRPr="00C2646C">
        <w:rPr>
          <w:b/>
          <w:u w:val="single"/>
        </w:rPr>
        <w:t xml:space="preserve"> </w:t>
      </w:r>
    </w:p>
    <w:p w:rsidR="00C2646C" w:rsidRDefault="00C2646C" w:rsidP="00C2646C">
      <w:pPr>
        <w:jc w:val="both"/>
        <w:rPr>
          <w:szCs w:val="22"/>
        </w:rPr>
      </w:pPr>
    </w:p>
    <w:p w:rsidR="00C2646C" w:rsidRDefault="00C2646C" w:rsidP="009120A3">
      <w:pPr>
        <w:spacing w:before="120"/>
        <w:rPr>
          <w:szCs w:val="22"/>
        </w:rPr>
      </w:pPr>
    </w:p>
    <w:p w:rsidR="00C2646C" w:rsidRDefault="00C2646C" w:rsidP="00C2646C">
      <w:pPr>
        <w:pStyle w:val="1"/>
        <w:rPr>
          <w:rFonts w:cs="Arial"/>
          <w:color w:val="000000" w:themeColor="text1"/>
        </w:rPr>
      </w:pPr>
      <w:r>
        <w:rPr>
          <w:rFonts w:cs="Arial"/>
          <w:color w:val="000000" w:themeColor="text1"/>
        </w:rPr>
        <w:t>3</w:t>
      </w:r>
      <w:r w:rsidRPr="001F61A8">
        <w:rPr>
          <w:rFonts w:cs="Arial"/>
          <w:color w:val="000000" w:themeColor="text1"/>
        </w:rPr>
        <w:tab/>
      </w:r>
      <w:r>
        <w:rPr>
          <w:rFonts w:cs="Arial"/>
          <w:color w:val="000000" w:themeColor="text1"/>
        </w:rPr>
        <w:t>Semi-</w:t>
      </w:r>
      <w:r w:rsidRPr="00C2646C">
        <w:rPr>
          <w:rFonts w:cs="Arial" w:hint="eastAsia"/>
          <w:color w:val="000000" w:themeColor="text1"/>
        </w:rPr>
        <w:t>Static</w:t>
      </w:r>
      <w:r>
        <w:rPr>
          <w:rFonts w:cs="Arial"/>
          <w:color w:val="000000" w:themeColor="text1"/>
        </w:rPr>
        <w:t xml:space="preserve"> </w:t>
      </w:r>
      <w:r w:rsidRPr="00C522D8">
        <w:rPr>
          <w:rFonts w:cs="Arial"/>
          <w:color w:val="000000" w:themeColor="text1"/>
        </w:rPr>
        <w:t>Power Sharing for NN-DC</w:t>
      </w:r>
    </w:p>
    <w:p w:rsidR="00C2646C" w:rsidRPr="00083802" w:rsidRDefault="00083802" w:rsidP="009120A3">
      <w:pPr>
        <w:spacing w:before="120"/>
        <w:rPr>
          <w:szCs w:val="22"/>
        </w:rPr>
      </w:pPr>
      <w:r w:rsidRPr="00083802">
        <w:rPr>
          <w:szCs w:val="22"/>
        </w:rPr>
        <w:t>It was widely understood that semi-static power sharing can be generalized to be a scheme where the transmission power of each CG is semi-statically split between two CGs such that transmission power of one CG is not impacted or interrupted by overlapped transmissions that is dynamically scheduled in the other CG.</w:t>
      </w:r>
    </w:p>
    <w:p w:rsidR="00C2646C" w:rsidRDefault="00C2646C" w:rsidP="009120A3">
      <w:pPr>
        <w:spacing w:before="120"/>
        <w:rPr>
          <w:szCs w:val="22"/>
        </w:rPr>
      </w:pPr>
    </w:p>
    <w:p w:rsidR="00DA4FB3" w:rsidRDefault="00DA4FB3" w:rsidP="00DA4FB3">
      <w:r>
        <w:t>In RAN1 #98 [1], the following contents for semi-static power sharing are agreed:</w:t>
      </w:r>
    </w:p>
    <w:p w:rsidR="00DA4FB3" w:rsidRPr="002534FE" w:rsidRDefault="00DA4FB3" w:rsidP="00DA4FB3">
      <w:r w:rsidRPr="00856AA4">
        <w:rPr>
          <w:highlight w:val="green"/>
        </w:rPr>
        <w:t>Agreements</w:t>
      </w:r>
      <w:r>
        <w:t>:</w:t>
      </w:r>
    </w:p>
    <w:p w:rsidR="00DA4FB3" w:rsidRPr="00B743A2" w:rsidRDefault="00DA4FB3" w:rsidP="00DA4FB3">
      <w:pPr>
        <w:numPr>
          <w:ilvl w:val="0"/>
          <w:numId w:val="4"/>
        </w:numPr>
      </w:pPr>
      <w:r w:rsidRPr="00B743A2">
        <w:t xml:space="preserve">Considering the following two alternatives for semi-static power sharing with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MCG</m:t>
            </m:r>
          </m:sub>
        </m:sSub>
      </m:oMath>
      <w:r w:rsidRPr="00B743A2">
        <w:t xml:space="preserv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SCG</m:t>
            </m:r>
          </m:sub>
        </m:sSub>
        <m:r>
          <m:rPr>
            <m:sty m:val="p"/>
          </m:rP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Total</m:t>
            </m:r>
          </m:sub>
          <m:sup>
            <m:r>
              <w:rPr>
                <w:rFonts w:ascii="Cambria Math" w:hAnsi="Cambria Math"/>
              </w:rPr>
              <m:t>NN</m:t>
            </m:r>
            <m:r>
              <m:rPr>
                <m:sty m:val="p"/>
              </m:rPr>
              <w:rPr>
                <w:rFonts w:ascii="Cambria Math" w:hAnsi="Cambria Math"/>
              </w:rPr>
              <m:t>- </m:t>
            </m:r>
            <m:r>
              <w:rPr>
                <w:rFonts w:ascii="Cambria Math" w:hAnsi="Cambria Math"/>
              </w:rPr>
              <m:t>DC</m:t>
            </m:r>
          </m:sup>
        </m:sSubSup>
      </m:oMath>
    </w:p>
    <w:p w:rsidR="00DA4FB3" w:rsidRPr="00B743A2" w:rsidRDefault="00DA4FB3" w:rsidP="00DA4FB3">
      <w:pPr>
        <w:numPr>
          <w:ilvl w:val="1"/>
          <w:numId w:val="4"/>
        </w:numPr>
        <w:rPr>
          <w:sz w:val="22"/>
          <w:szCs w:val="20"/>
        </w:rPr>
      </w:pPr>
      <w:r w:rsidRPr="00B743A2">
        <w:rPr>
          <w:sz w:val="22"/>
          <w:szCs w:val="20"/>
        </w:rPr>
        <w:t>Alt.1: For the uplink transmission in MCG, the UE checks the semi-statically configured direction of the overlapping symbols of all serving cells of SCG, and vice versa.</w:t>
      </w:r>
    </w:p>
    <w:p w:rsidR="00DA4FB3" w:rsidRPr="00B743A2" w:rsidRDefault="00DA4FB3" w:rsidP="00DA4FB3">
      <w:pPr>
        <w:numPr>
          <w:ilvl w:val="2"/>
          <w:numId w:val="4"/>
        </w:numPr>
        <w:rPr>
          <w:sz w:val="22"/>
          <w:szCs w:val="20"/>
        </w:rPr>
      </w:pPr>
      <w:r w:rsidRPr="00B743A2">
        <w:rPr>
          <w:sz w:val="22"/>
          <w:szCs w:val="20"/>
        </w:rPr>
        <w:lastRenderedPageBreak/>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in MCG such that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r>
          <m:rPr>
            <m:sty m:val="p"/>
          </m:rPr>
          <w:rPr>
            <w:rFonts w:ascii="Cambria Math" w:hAnsi="Cambria Math"/>
            <w:sz w:val="22"/>
            <w:szCs w:val="20"/>
          </w:rPr>
          <m:t>≤</m:t>
        </m:r>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 </w:t>
      </w:r>
    </w:p>
    <w:p w:rsidR="00DA4FB3" w:rsidRPr="00B743A2" w:rsidRDefault="00DA4FB3" w:rsidP="00DA4FB3">
      <w:pPr>
        <w:numPr>
          <w:ilvl w:val="2"/>
          <w:numId w:val="4"/>
        </w:numPr>
        <w:rPr>
          <w:sz w:val="22"/>
          <w:szCs w:val="20"/>
        </w:rPr>
      </w:pPr>
      <w:r w:rsidRPr="00B743A2">
        <w:rPr>
          <w:sz w:val="22"/>
          <w:szCs w:val="20"/>
        </w:rPr>
        <w:t xml:space="preserve">Otherwise (i.e. collides with only semi-static ‘DL’ symbols on all CCs of SCG),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 can be up to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MCG</m:t>
            </m:r>
          </m:sub>
          <m:sup>
            <m:r>
              <m:rPr>
                <m:sty m:val="p"/>
              </m:rPr>
              <w:rPr>
                <w:rFonts w:ascii="Cambria Math" w:hAnsi="Cambria Math"/>
                <w:sz w:val="22"/>
                <w:szCs w:val="20"/>
              </w:rPr>
              <m:t>'</m:t>
            </m:r>
          </m:sup>
        </m:sSubSup>
      </m:oMath>
      <w:r w:rsidRPr="00B743A2">
        <w:rPr>
          <w:sz w:val="22"/>
          <w:szCs w:val="20"/>
        </w:rPr>
        <w:t xml:space="preserve"> and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SCG</m:t>
            </m:r>
          </m:sub>
        </m:sSub>
      </m:oMath>
      <w:r w:rsidRPr="00B743A2">
        <w:rPr>
          <w:sz w:val="22"/>
          <w:szCs w:val="20"/>
        </w:rPr>
        <w:t xml:space="preserve"> can be up to </w:t>
      </w:r>
      <m:oMath>
        <m:r>
          <m:rPr>
            <m:sty m:val="p"/>
          </m:rPr>
          <w:rPr>
            <w:rFonts w:ascii="Cambria Math" w:hAnsi="Cambria Math"/>
            <w:sz w:val="22"/>
            <w:szCs w:val="20"/>
          </w:rPr>
          <m:t> </m:t>
        </m:r>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SCG</m:t>
            </m:r>
          </m:sub>
          <m:sup>
            <m:r>
              <m:rPr>
                <m:sty m:val="p"/>
              </m:rPr>
              <w:rPr>
                <w:rFonts w:ascii="Cambria Math" w:hAnsi="Cambria Math"/>
                <w:sz w:val="22"/>
                <w:szCs w:val="20"/>
              </w:rPr>
              <m:t>'</m:t>
            </m:r>
          </m:sup>
        </m:sSubSup>
      </m:oMath>
      <w:r w:rsidRPr="00B743A2">
        <w:rPr>
          <w:sz w:val="22"/>
          <w:szCs w:val="20"/>
        </w:rPr>
        <w:t xml:space="preserve">  .</w:t>
      </w:r>
    </w:p>
    <w:p w:rsidR="00DA4FB3" w:rsidRPr="00B743A2" w:rsidRDefault="00DA4FB3" w:rsidP="00DA4FB3">
      <w:pPr>
        <w:numPr>
          <w:ilvl w:val="3"/>
          <w:numId w:val="4"/>
        </w:numPr>
        <w:rPr>
          <w:sz w:val="22"/>
          <w:szCs w:val="20"/>
        </w:rPr>
      </w:pPr>
      <w:r w:rsidRPr="00B743A2">
        <w:rPr>
          <w:sz w:val="22"/>
          <w:szCs w:val="20"/>
        </w:rPr>
        <w:t xml:space="preserve">Alt.1-1: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MCG</m:t>
            </m:r>
          </m:sub>
          <m:sup>
            <m:r>
              <m:rPr>
                <m:sty m:val="p"/>
              </m:rPr>
              <w:rPr>
                <w:rFonts w:ascii="Cambria Math" w:hAnsi="Cambria Math"/>
                <w:sz w:val="22"/>
                <w:szCs w:val="20"/>
              </w:rPr>
              <m:t>'</m:t>
            </m:r>
          </m:sup>
        </m:sSubSup>
      </m:oMath>
      <w:r w:rsidRPr="00B743A2">
        <w:rPr>
          <w:sz w:val="22"/>
          <w:szCs w:val="20"/>
        </w:rPr>
        <w:t xml:space="preserve"> and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SCG</m:t>
            </m:r>
          </m:sub>
          <m:sup>
            <m:r>
              <m:rPr>
                <m:sty m:val="p"/>
              </m:rPr>
              <w:rPr>
                <w:rFonts w:ascii="Cambria Math" w:hAnsi="Cambria Math"/>
                <w:sz w:val="22"/>
                <w:szCs w:val="20"/>
              </w:rPr>
              <m:t>'</m:t>
            </m:r>
          </m:sup>
        </m:sSubSup>
      </m:oMath>
      <w:r w:rsidRPr="00B743A2">
        <w:rPr>
          <w:sz w:val="22"/>
          <w:szCs w:val="20"/>
        </w:rPr>
        <w:t xml:space="preserve">  are configured by RRC signaling. </w:t>
      </w:r>
    </w:p>
    <w:p w:rsidR="00DA4FB3" w:rsidRPr="00B743A2" w:rsidRDefault="00DA4FB3" w:rsidP="00DA4FB3">
      <w:pPr>
        <w:numPr>
          <w:ilvl w:val="3"/>
          <w:numId w:val="4"/>
        </w:numPr>
        <w:rPr>
          <w:sz w:val="22"/>
          <w:szCs w:val="20"/>
        </w:rPr>
      </w:pPr>
      <w:r w:rsidRPr="00B743A2">
        <w:rPr>
          <w:sz w:val="22"/>
          <w:szCs w:val="20"/>
        </w:rPr>
        <w:t xml:space="preserve">Alt.1-2: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MCG</m:t>
            </m:r>
          </m:sub>
          <m:sup>
            <m:r>
              <m:rPr>
                <m:sty m:val="p"/>
              </m:rPr>
              <w:rPr>
                <w:rFonts w:ascii="Cambria Math" w:hAnsi="Cambria Math"/>
                <w:sz w:val="22"/>
                <w:szCs w:val="20"/>
              </w:rPr>
              <m:t>'</m:t>
            </m:r>
          </m:sup>
        </m:sSubSup>
      </m:oMath>
      <w:r w:rsidRPr="00B743A2">
        <w:rPr>
          <w:sz w:val="22"/>
          <w:szCs w:val="20"/>
        </w:rPr>
        <w:t xml:space="preserve"> and </w:t>
      </w:r>
      <m:oMath>
        <m:sSubSup>
          <m:sSubSupPr>
            <m:ctrlPr>
              <w:rPr>
                <w:rFonts w:ascii="Cambria Math" w:hAnsi="Cambria Math"/>
                <w:i/>
                <w:iCs/>
                <w:sz w:val="22"/>
                <w:szCs w:val="20"/>
              </w:rPr>
            </m:ctrlPr>
          </m:sSubSupPr>
          <m:e>
            <m:r>
              <m:rPr>
                <m:sty m:val="p"/>
              </m:rPr>
              <w:rPr>
                <w:rFonts w:ascii="Cambria Math" w:hAnsi="Cambria Math"/>
                <w:sz w:val="22"/>
                <w:szCs w:val="20"/>
              </w:rPr>
              <m:t>P</m:t>
            </m:r>
          </m:e>
          <m:sub>
            <m:r>
              <m:rPr>
                <m:sty m:val="p"/>
              </m:rPr>
              <w:rPr>
                <w:rFonts w:ascii="Cambria Math" w:hAnsi="Cambria Math"/>
                <w:sz w:val="22"/>
                <w:szCs w:val="20"/>
              </w:rPr>
              <m:t>SCG</m:t>
            </m:r>
          </m:sub>
          <m:sup>
            <m:r>
              <m:rPr>
                <m:sty m:val="p"/>
              </m:rPr>
              <w:rPr>
                <w:rFonts w:ascii="Cambria Math" w:hAnsi="Cambria Math"/>
                <w:sz w:val="22"/>
                <w:szCs w:val="20"/>
              </w:rPr>
              <m:t>'</m:t>
            </m:r>
          </m:sup>
        </m:sSubSup>
      </m:oMath>
      <w:r w:rsidRPr="00B743A2">
        <w:rPr>
          <w:sz w:val="22"/>
          <w:szCs w:val="20"/>
        </w:rPr>
        <w:t xml:space="preserve">  are determined by RAN4 requirement. </w:t>
      </w:r>
    </w:p>
    <w:p w:rsidR="00DA4FB3" w:rsidRPr="00B743A2" w:rsidRDefault="00DA4FB3" w:rsidP="00DA4FB3">
      <w:pPr>
        <w:pStyle w:val="a4"/>
        <w:numPr>
          <w:ilvl w:val="1"/>
          <w:numId w:val="4"/>
        </w:numPr>
        <w:rPr>
          <w:sz w:val="22"/>
          <w:szCs w:val="20"/>
        </w:rPr>
      </w:pPr>
      <w:r w:rsidRPr="00B743A2">
        <w:rPr>
          <w:sz w:val="22"/>
          <w:szCs w:val="20"/>
        </w:rPr>
        <w:t xml:space="preserve">Alt.2: For the uplink transmission in MCG and in SCG, UE limits its actual transmission power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MCG</m:t>
            </m:r>
          </m:sub>
        </m:sSub>
      </m:oMath>
      <w:r w:rsidRPr="00B743A2">
        <w:rPr>
          <w:sz w:val="22"/>
          <w:szCs w:val="20"/>
        </w:rPr>
        <w:t xml:space="preserve"> to be up to</w:t>
      </w:r>
      <m:oMath>
        <m:sSub>
          <m:sSubPr>
            <m:ctrlPr>
              <w:rPr>
                <w:rFonts w:ascii="Cambria Math" w:hAnsi="Cambria Math"/>
                <w:i/>
                <w:iCs/>
                <w:sz w:val="22"/>
                <w:szCs w:val="20"/>
              </w:rPr>
            </m:ctrlPr>
          </m:sSubPr>
          <m:e>
            <m:r>
              <m:rPr>
                <m:sty m:val="p"/>
              </m:rPr>
              <w:rPr>
                <w:rFonts w:ascii="Cambria Math" w:hAnsi="Cambria Math"/>
                <w:sz w:val="22"/>
                <w:szCs w:val="20"/>
              </w:rPr>
              <m:t> P</m:t>
            </m:r>
          </m:e>
          <m:sub>
            <m:r>
              <m:rPr>
                <m:sty m:val="p"/>
              </m:rPr>
              <w:rPr>
                <w:rFonts w:ascii="Cambria Math" w:hAnsi="Cambria Math"/>
                <w:sz w:val="22"/>
                <w:szCs w:val="20"/>
              </w:rPr>
              <m:t>MCG</m:t>
            </m:r>
          </m:sub>
        </m:sSub>
      </m:oMath>
      <w:r w:rsidRPr="00B743A2">
        <w:rPr>
          <w:sz w:val="22"/>
          <w:szCs w:val="20"/>
        </w:rPr>
        <w:t xml:space="preserve">and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SCG</m:t>
            </m:r>
          </m:sub>
        </m:sSub>
      </m:oMath>
      <w:r w:rsidRPr="00B743A2">
        <w:rPr>
          <w:sz w:val="22"/>
          <w:szCs w:val="20"/>
        </w:rPr>
        <w:t xml:space="preserve"> to be up to </w:t>
      </w:r>
      <m:oMath>
        <m:sSub>
          <m:sSubPr>
            <m:ctrlPr>
              <w:rPr>
                <w:rFonts w:ascii="Cambria Math" w:hAnsi="Cambria Math"/>
                <w:i/>
                <w:iCs/>
                <w:sz w:val="22"/>
                <w:szCs w:val="20"/>
              </w:rPr>
            </m:ctrlPr>
          </m:sSubPr>
          <m:e>
            <m:r>
              <m:rPr>
                <m:sty m:val="p"/>
              </m:rPr>
              <w:rPr>
                <w:rFonts w:ascii="Cambria Math" w:hAnsi="Cambria Math"/>
                <w:sz w:val="22"/>
                <w:szCs w:val="20"/>
              </w:rPr>
              <m:t>P</m:t>
            </m:r>
          </m:e>
          <m:sub>
            <m:r>
              <m:rPr>
                <m:sty m:val="p"/>
              </m:rPr>
              <w:rPr>
                <w:rFonts w:ascii="Cambria Math" w:hAnsi="Cambria Math"/>
                <w:sz w:val="22"/>
                <w:szCs w:val="20"/>
              </w:rPr>
              <m:t>SCG</m:t>
            </m:r>
          </m:sub>
        </m:sSub>
      </m:oMath>
    </w:p>
    <w:p w:rsidR="00C2646C" w:rsidRDefault="00DA4FB3" w:rsidP="009120A3">
      <w:pPr>
        <w:spacing w:before="120"/>
        <w:rPr>
          <w:szCs w:val="22"/>
        </w:rPr>
      </w:pPr>
      <w:r>
        <w:rPr>
          <w:szCs w:val="22"/>
        </w:rPr>
        <w:t>Since semi-static power sharing is a more stable and fundamental feature, we think it should be mandatory for Rel-16 NN DC. The details can be FFS.</w:t>
      </w:r>
    </w:p>
    <w:p w:rsidR="00DA4FB3" w:rsidRDefault="00DA4FB3" w:rsidP="009120A3">
      <w:pPr>
        <w:spacing w:before="120"/>
        <w:rPr>
          <w:szCs w:val="22"/>
        </w:rPr>
      </w:pPr>
    </w:p>
    <w:p w:rsidR="00FE66E5" w:rsidRPr="00FE66E5" w:rsidRDefault="00DA4FB3" w:rsidP="00FE66E5">
      <w:pPr>
        <w:rPr>
          <w:b/>
          <w:u w:val="single"/>
        </w:rPr>
      </w:pPr>
      <w:r>
        <w:rPr>
          <w:b/>
          <w:u w:val="single"/>
        </w:rPr>
        <w:t>Proposal 4</w:t>
      </w:r>
      <w:r w:rsidRPr="00D569AD">
        <w:rPr>
          <w:b/>
          <w:u w:val="single"/>
        </w:rPr>
        <w:t xml:space="preserve">: </w:t>
      </w:r>
      <w:r w:rsidR="00FE66E5" w:rsidRPr="00FE66E5">
        <w:rPr>
          <w:b/>
          <w:u w:val="single"/>
        </w:rPr>
        <w:t xml:space="preserve">UEs supporting </w:t>
      </w:r>
      <w:r w:rsidR="00FE66E5">
        <w:rPr>
          <w:b/>
          <w:u w:val="single"/>
        </w:rPr>
        <w:t xml:space="preserve">Rel-16 </w:t>
      </w:r>
      <w:r w:rsidR="00FE66E5" w:rsidRPr="00FE66E5">
        <w:rPr>
          <w:b/>
          <w:u w:val="single"/>
        </w:rPr>
        <w:t xml:space="preserve">NR-DC can support </w:t>
      </w:r>
      <w:r w:rsidR="00C811F6">
        <w:rPr>
          <w:b/>
          <w:u w:val="single"/>
        </w:rPr>
        <w:t xml:space="preserve">semi-static </w:t>
      </w:r>
      <w:r w:rsidR="00FE66E5" w:rsidRPr="00FE66E5">
        <w:rPr>
          <w:b/>
          <w:u w:val="single"/>
        </w:rPr>
        <w:t>power sharing mandatorily</w:t>
      </w:r>
      <w:r w:rsidR="00FE66E5">
        <w:rPr>
          <w:b/>
          <w:u w:val="single"/>
        </w:rPr>
        <w:t xml:space="preserve">. Whether </w:t>
      </w:r>
      <w:r w:rsidR="00FE66E5" w:rsidRPr="00FE66E5">
        <w:rPr>
          <w:b/>
          <w:u w:val="single"/>
        </w:rPr>
        <w:t>UE checks the semi-statically configured transmission direction to determine the uplink power can be FFS.</w:t>
      </w:r>
    </w:p>
    <w:p w:rsidR="00E22206" w:rsidRPr="00E22206" w:rsidRDefault="00E22206" w:rsidP="00E22206">
      <w:pPr>
        <w:rPr>
          <w:lang w:val="en-GB" w:eastAsia="en-US"/>
        </w:rPr>
      </w:pPr>
    </w:p>
    <w:p w:rsidR="00BB61FF" w:rsidRPr="009F29FB" w:rsidRDefault="00427430" w:rsidP="00BB61FF">
      <w:pPr>
        <w:pStyle w:val="1"/>
        <w:rPr>
          <w:rFonts w:cs="Arial"/>
          <w:color w:val="000000" w:themeColor="text1"/>
        </w:rPr>
      </w:pPr>
      <w:r>
        <w:rPr>
          <w:rFonts w:eastAsia="新細明體" w:cs="Arial"/>
          <w:color w:val="000000" w:themeColor="text1"/>
          <w:lang w:eastAsia="zh-TW"/>
        </w:rPr>
        <w:t>4</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F47B95" w:rsidP="00BB61FF">
      <w:r>
        <w:t>In this contribution</w:t>
      </w:r>
      <w:r w:rsidR="00BB61FF">
        <w:t xml:space="preserve">, </w:t>
      </w:r>
      <w:r w:rsidR="00FE66E5">
        <w:t>we focus on the discussions for d</w:t>
      </w:r>
      <w:r w:rsidR="00FE66E5" w:rsidRPr="00DA4FB3">
        <w:t xml:space="preserve">ynamic </w:t>
      </w:r>
      <w:r w:rsidR="00FE66E5">
        <w:t>power s</w:t>
      </w:r>
      <w:r w:rsidR="00FE66E5" w:rsidRPr="00DA4FB3">
        <w:t xml:space="preserve">haring and </w:t>
      </w:r>
      <w:r w:rsidR="00FE66E5">
        <w:t>s</w:t>
      </w:r>
      <w:r w:rsidR="00FE66E5" w:rsidRPr="00DA4FB3">
        <w:t>emi-</w:t>
      </w:r>
      <w:r w:rsidR="00FE66E5">
        <w:rPr>
          <w:rFonts w:hint="eastAsia"/>
        </w:rPr>
        <w:t>s</w:t>
      </w:r>
      <w:r w:rsidR="00FE66E5" w:rsidRPr="00DA4FB3">
        <w:rPr>
          <w:rFonts w:hint="eastAsia"/>
        </w:rPr>
        <w:t>tatic</w:t>
      </w:r>
      <w:r w:rsidR="00FE66E5" w:rsidRPr="00DA4FB3">
        <w:t xml:space="preserve"> </w:t>
      </w:r>
      <w:r w:rsidR="00FE66E5">
        <w:t>power s</w:t>
      </w:r>
      <w:r w:rsidR="00FE66E5" w:rsidRPr="00DA4FB3">
        <w:t>haring for Rel-16 NN-DC</w:t>
      </w:r>
      <w:r w:rsidR="00BB61FF">
        <w:t>:</w:t>
      </w:r>
    </w:p>
    <w:p w:rsidR="00FE66E5" w:rsidRDefault="00FE66E5" w:rsidP="00BB61FF"/>
    <w:p w:rsidR="00C811F6" w:rsidRDefault="00C811F6" w:rsidP="00C811F6">
      <w:pPr>
        <w:jc w:val="both"/>
        <w:rPr>
          <w:szCs w:val="22"/>
        </w:rPr>
      </w:pPr>
      <w:r>
        <w:rPr>
          <w:b/>
          <w:u w:val="single"/>
        </w:rPr>
        <w:t>Proposal 1</w:t>
      </w:r>
      <w:r w:rsidRPr="00D569AD">
        <w:rPr>
          <w:b/>
          <w:u w:val="single"/>
        </w:rPr>
        <w:t xml:space="preserve">: </w:t>
      </w:r>
      <w:r>
        <w:rPr>
          <w:b/>
          <w:u w:val="single"/>
        </w:rPr>
        <w:t>Dynamic power sharing</w:t>
      </w:r>
      <w:r w:rsidRPr="00D569AD">
        <w:rPr>
          <w:b/>
          <w:u w:val="single"/>
        </w:rPr>
        <w:t xml:space="preserve"> should not be supported</w:t>
      </w:r>
      <w:r>
        <w:rPr>
          <w:b/>
          <w:u w:val="single"/>
        </w:rPr>
        <w:t xml:space="preserve"> in Rel-16 </w:t>
      </w:r>
      <w:r w:rsidRPr="00D569AD">
        <w:rPr>
          <w:b/>
          <w:u w:val="single"/>
        </w:rPr>
        <w:t>(slot-based)</w:t>
      </w:r>
      <w:r>
        <w:rPr>
          <w:b/>
          <w:u w:val="single"/>
        </w:rPr>
        <w:t xml:space="preserve">  a</w:t>
      </w:r>
      <w:r w:rsidRPr="00D569AD">
        <w:rPr>
          <w:b/>
          <w:u w:val="single"/>
        </w:rPr>
        <w:t>sy</w:t>
      </w:r>
      <w:r>
        <w:rPr>
          <w:b/>
          <w:u w:val="single"/>
        </w:rPr>
        <w:t>nchronous NN-DC</w:t>
      </w:r>
      <w:r w:rsidRPr="00D569AD">
        <w:rPr>
          <w:b/>
          <w:u w:val="single"/>
        </w:rPr>
        <w:t>.</w:t>
      </w:r>
    </w:p>
    <w:p w:rsidR="0078147B" w:rsidRDefault="0078147B" w:rsidP="00BB61FF">
      <w:pPr>
        <w:rPr>
          <w:rFonts w:eastAsia="MS Mincho"/>
          <w:b/>
          <w:i/>
          <w:lang w:eastAsia="ja-JP"/>
        </w:rPr>
      </w:pPr>
    </w:p>
    <w:p w:rsidR="00C811F6" w:rsidRPr="00D569AD" w:rsidRDefault="00C811F6" w:rsidP="00C811F6">
      <w:pPr>
        <w:jc w:val="both"/>
        <w:rPr>
          <w:b/>
          <w:u w:val="single"/>
        </w:rPr>
      </w:pPr>
      <w:r>
        <w:rPr>
          <w:b/>
          <w:u w:val="single"/>
        </w:rPr>
        <w:t>Proposal 2</w:t>
      </w:r>
      <w:r w:rsidRPr="00D569AD">
        <w:rPr>
          <w:b/>
          <w:u w:val="single"/>
        </w:rPr>
        <w:t xml:space="preserve">: </w:t>
      </w:r>
      <w:r>
        <w:rPr>
          <w:b/>
          <w:u w:val="single"/>
        </w:rPr>
        <w:t>Dynamic power sharing can</w:t>
      </w:r>
      <w:r w:rsidRPr="00D569AD">
        <w:rPr>
          <w:b/>
          <w:u w:val="single"/>
        </w:rPr>
        <w:t xml:space="preserve"> be supported</w:t>
      </w:r>
      <w:r>
        <w:rPr>
          <w:b/>
          <w:u w:val="single"/>
        </w:rPr>
        <w:t xml:space="preserve"> in Rel-16 </w:t>
      </w:r>
      <w:r w:rsidRPr="00D569AD">
        <w:rPr>
          <w:b/>
          <w:u w:val="single"/>
        </w:rPr>
        <w:t>(slot-based)</w:t>
      </w:r>
      <w:r>
        <w:rPr>
          <w:b/>
          <w:u w:val="single"/>
        </w:rPr>
        <w:t xml:space="preserve"> s</w:t>
      </w:r>
      <w:r w:rsidRPr="00D569AD">
        <w:rPr>
          <w:b/>
          <w:u w:val="single"/>
        </w:rPr>
        <w:t>y</w:t>
      </w:r>
      <w:r>
        <w:rPr>
          <w:b/>
          <w:u w:val="single"/>
        </w:rPr>
        <w:t>nchronous NN-DC</w:t>
      </w:r>
      <w:r w:rsidRPr="00D569AD">
        <w:rPr>
          <w:b/>
          <w:u w:val="single"/>
        </w:rPr>
        <w:t xml:space="preserve"> with look-ahead time offset  </w:t>
      </w:r>
      <m:oMath>
        <m:sSub>
          <m:sSubPr>
            <m:ctrlPr>
              <w:rPr>
                <w:rFonts w:ascii="Cambria Math" w:hAnsi="Cambria Math"/>
                <w:b/>
                <w:u w:val="single"/>
              </w:rPr>
            </m:ctrlPr>
          </m:sSubPr>
          <m:e>
            <m:r>
              <m:rPr>
                <m:sty m:val="bi"/>
              </m:rPr>
              <w:rPr>
                <w:rFonts w:ascii="Cambria Math" w:hAnsi="Cambria Math"/>
                <w:u w:val="single"/>
              </w:rPr>
              <m:t>T</m:t>
            </m:r>
          </m:e>
          <m:sub>
            <m:r>
              <m:rPr>
                <m:sty m:val="bi"/>
              </m:rPr>
              <w:rPr>
                <w:rFonts w:ascii="Cambria Math" w:hAnsi="Cambria Math"/>
                <w:u w:val="single"/>
              </w:rPr>
              <m:t>offset</m:t>
            </m:r>
          </m:sub>
        </m:sSub>
      </m:oMath>
      <w:r w:rsidRPr="00D569AD">
        <w:rPr>
          <w:b/>
          <w:u w:val="single"/>
        </w:rPr>
        <w:t xml:space="preserve"> equals T_proc</w:t>
      </w:r>
      <w:r>
        <w:rPr>
          <w:b/>
          <w:u w:val="single"/>
        </w:rPr>
        <w:t xml:space="preserve"> </w:t>
      </w:r>
      <w:r w:rsidRPr="00D569AD">
        <w:rPr>
          <w:b/>
          <w:u w:val="single"/>
        </w:rPr>
        <w:t>specified in Rel15 for UCI multiplexing of the smallest SCS carrier</w:t>
      </w:r>
      <w:r>
        <w:rPr>
          <w:b/>
          <w:u w:val="single"/>
        </w:rPr>
        <w:t>.</w:t>
      </w:r>
    </w:p>
    <w:p w:rsidR="00FE66E5" w:rsidRDefault="00FE66E5" w:rsidP="00BB61FF">
      <w:pPr>
        <w:rPr>
          <w:rFonts w:eastAsia="MS Mincho"/>
          <w:b/>
          <w:i/>
          <w:lang w:eastAsia="ja-JP"/>
        </w:rPr>
      </w:pPr>
    </w:p>
    <w:p w:rsidR="00C811F6" w:rsidRPr="00C2646C" w:rsidRDefault="00C811F6" w:rsidP="00C811F6">
      <w:pPr>
        <w:jc w:val="both"/>
        <w:rPr>
          <w:b/>
          <w:u w:val="single"/>
        </w:rPr>
      </w:pPr>
      <w:r>
        <w:rPr>
          <w:b/>
          <w:u w:val="single"/>
        </w:rPr>
        <w:t>Proposal 3</w:t>
      </w:r>
      <w:r w:rsidRPr="00D569AD">
        <w:rPr>
          <w:b/>
          <w:u w:val="single"/>
        </w:rPr>
        <w:t xml:space="preserve">: </w:t>
      </w:r>
      <w:r>
        <w:rPr>
          <w:b/>
          <w:u w:val="single"/>
        </w:rPr>
        <w:t>For dynamic power sharing</w:t>
      </w:r>
      <w:r w:rsidRPr="00C2646C">
        <w:rPr>
          <w:b/>
          <w:u w:val="single"/>
        </w:rPr>
        <w:t xml:space="preserve"> prioritization</w:t>
      </w:r>
      <w:r>
        <w:rPr>
          <w:b/>
          <w:u w:val="single"/>
        </w:rPr>
        <w:t xml:space="preserve"> in Rel-16 NN-DC</w:t>
      </w:r>
      <w:r w:rsidRPr="00C2646C">
        <w:rPr>
          <w:b/>
          <w:u w:val="single"/>
        </w:rPr>
        <w:t>, prioritize MCG over SCG and reuse CA rule within CG</w:t>
      </w:r>
      <w:r>
        <w:rPr>
          <w:b/>
          <w:u w:val="single"/>
        </w:rPr>
        <w:t>.</w:t>
      </w:r>
      <w:r w:rsidRPr="00C2646C">
        <w:rPr>
          <w:b/>
          <w:u w:val="single"/>
        </w:rPr>
        <w:t xml:space="preserve"> </w:t>
      </w:r>
    </w:p>
    <w:p w:rsidR="00FE66E5" w:rsidRDefault="00FE66E5" w:rsidP="00BB61FF"/>
    <w:p w:rsidR="00C811F6" w:rsidRPr="00FE66E5" w:rsidRDefault="00C811F6" w:rsidP="00C811F6">
      <w:pPr>
        <w:rPr>
          <w:b/>
          <w:u w:val="single"/>
        </w:rPr>
      </w:pPr>
      <w:r>
        <w:rPr>
          <w:b/>
          <w:u w:val="single"/>
        </w:rPr>
        <w:t>Proposal 4</w:t>
      </w:r>
      <w:r w:rsidRPr="00D569AD">
        <w:rPr>
          <w:b/>
          <w:u w:val="single"/>
        </w:rPr>
        <w:t xml:space="preserve">: </w:t>
      </w:r>
      <w:r w:rsidRPr="00FE66E5">
        <w:rPr>
          <w:b/>
          <w:u w:val="single"/>
        </w:rPr>
        <w:t xml:space="preserve">UEs supporting </w:t>
      </w:r>
      <w:r>
        <w:rPr>
          <w:b/>
          <w:u w:val="single"/>
        </w:rPr>
        <w:t xml:space="preserve">Rel-16 </w:t>
      </w:r>
      <w:r w:rsidRPr="00FE66E5">
        <w:rPr>
          <w:b/>
          <w:u w:val="single"/>
        </w:rPr>
        <w:t xml:space="preserve">NR-DC can support </w:t>
      </w:r>
      <w:r>
        <w:rPr>
          <w:b/>
          <w:u w:val="single"/>
        </w:rPr>
        <w:t xml:space="preserve">semi-static </w:t>
      </w:r>
      <w:r w:rsidRPr="00FE66E5">
        <w:rPr>
          <w:b/>
          <w:u w:val="single"/>
        </w:rPr>
        <w:t>power sharing mandatorily</w:t>
      </w:r>
      <w:r>
        <w:rPr>
          <w:b/>
          <w:u w:val="single"/>
        </w:rPr>
        <w:t xml:space="preserve">. Whether </w:t>
      </w:r>
      <w:r w:rsidRPr="00FE66E5">
        <w:rPr>
          <w:b/>
          <w:u w:val="single"/>
        </w:rPr>
        <w:t>UE checks the semi-statically configured transmission direction to determine the uplink power can be FFS.</w:t>
      </w:r>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9120A3" w:rsidRPr="00E5123C" w:rsidRDefault="00E5123C" w:rsidP="00E5123C">
      <w:pPr>
        <w:pStyle w:val="References"/>
        <w:rPr>
          <w:lang w:val="en-GB"/>
        </w:rPr>
      </w:pPr>
      <w:r>
        <w:rPr>
          <w:lang w:val="en-GB"/>
        </w:rPr>
        <w:t>Chairman’s Notes, RAN1 #98</w:t>
      </w:r>
      <w:r w:rsidRPr="00FC4BFD">
        <w:rPr>
          <w:lang w:val="en-GB"/>
        </w:rPr>
        <w:t>.</w:t>
      </w:r>
    </w:p>
    <w:p w:rsidR="009120A3" w:rsidRPr="00E22206" w:rsidRDefault="00E5123C" w:rsidP="009120A3">
      <w:pPr>
        <w:pStyle w:val="References"/>
        <w:rPr>
          <w:lang w:val="sv-SE"/>
        </w:rPr>
      </w:pPr>
      <w:r>
        <w:rPr>
          <w:lang w:val="sv-SE"/>
        </w:rPr>
        <w:t>R1</w:t>
      </w:r>
      <w:r w:rsidR="00E22206" w:rsidRPr="00EC2A51">
        <w:rPr>
          <w:lang w:val="sv-SE"/>
        </w:rPr>
        <w:t>-19</w:t>
      </w:r>
      <w:r>
        <w:rPr>
          <w:lang w:val="sv-SE"/>
        </w:rPr>
        <w:t>09619</w:t>
      </w:r>
      <w:r w:rsidR="00E22206">
        <w:rPr>
          <w:lang w:val="sv-SE"/>
        </w:rPr>
        <w:t>,</w:t>
      </w:r>
      <w:r w:rsidR="00E22206" w:rsidRPr="00E22206">
        <w:rPr>
          <w:lang w:val="sv-SE"/>
        </w:rPr>
        <w:t xml:space="preserve"> </w:t>
      </w:r>
      <w:r w:rsidRPr="00E5123C">
        <w:rPr>
          <w:lang w:val="sv-SE"/>
        </w:rPr>
        <w:t>Feature lead summary #1 for Uplink Power Control for Supporting NN-DC</w:t>
      </w:r>
      <w:r>
        <w:rPr>
          <w:lang w:val="sv-SE"/>
        </w:rPr>
        <w:t>, RAN1 #98</w:t>
      </w:r>
    </w:p>
    <w:p w:rsidR="009120A3" w:rsidRPr="00F47B95" w:rsidRDefault="009120A3" w:rsidP="009120A3">
      <w:pPr>
        <w:pStyle w:val="References"/>
        <w:numPr>
          <w:ilvl w:val="0"/>
          <w:numId w:val="0"/>
        </w:numPr>
      </w:pPr>
    </w:p>
    <w:sectPr w:rsidR="009120A3"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6C4" w:rsidRDefault="009C16C4" w:rsidP="007003B8">
      <w:r>
        <w:separator/>
      </w:r>
    </w:p>
  </w:endnote>
  <w:endnote w:type="continuationSeparator" w:id="0">
    <w:p w:rsidR="009C16C4" w:rsidRDefault="009C16C4"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6C4" w:rsidRDefault="009C16C4" w:rsidP="007003B8">
      <w:r>
        <w:separator/>
      </w:r>
    </w:p>
  </w:footnote>
  <w:footnote w:type="continuationSeparator" w:id="0">
    <w:p w:rsidR="009C16C4" w:rsidRDefault="009C16C4"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4"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8"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num w:numId="1">
    <w:abstractNumId w:val="6"/>
  </w:num>
  <w:num w:numId="2">
    <w:abstractNumId w:val="4"/>
  </w:num>
  <w:num w:numId="3">
    <w:abstractNumId w:val="2"/>
  </w:num>
  <w:num w:numId="4">
    <w:abstractNumId w:val="9"/>
  </w:num>
  <w:num w:numId="5">
    <w:abstractNumId w:val="7"/>
  </w:num>
  <w:num w:numId="6">
    <w:abstractNumId w:val="3"/>
  </w:num>
  <w:num w:numId="7">
    <w:abstractNumId w:val="5"/>
  </w:num>
  <w:num w:numId="8">
    <w:abstractNumId w:val="8"/>
  </w:num>
  <w:num w:numId="9">
    <w:abstractNumId w:val="0"/>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2193"/>
    <w:rsid w:val="00004F6B"/>
    <w:rsid w:val="00005C7D"/>
    <w:rsid w:val="00007986"/>
    <w:rsid w:val="00010D0F"/>
    <w:rsid w:val="000129D3"/>
    <w:rsid w:val="00015301"/>
    <w:rsid w:val="0001537E"/>
    <w:rsid w:val="00021033"/>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75D4"/>
    <w:rsid w:val="00061A81"/>
    <w:rsid w:val="00062BC9"/>
    <w:rsid w:val="000631DA"/>
    <w:rsid w:val="00063E95"/>
    <w:rsid w:val="000653B6"/>
    <w:rsid w:val="00067DE7"/>
    <w:rsid w:val="00067EA8"/>
    <w:rsid w:val="0007212B"/>
    <w:rsid w:val="00073846"/>
    <w:rsid w:val="0007411A"/>
    <w:rsid w:val="00076FBC"/>
    <w:rsid w:val="00082F23"/>
    <w:rsid w:val="00083802"/>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5B22"/>
    <w:rsid w:val="000B73B2"/>
    <w:rsid w:val="000C1243"/>
    <w:rsid w:val="000C1BD9"/>
    <w:rsid w:val="000C34FE"/>
    <w:rsid w:val="000C3733"/>
    <w:rsid w:val="000C48A6"/>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443D"/>
    <w:rsid w:val="001D4A4A"/>
    <w:rsid w:val="001D66A7"/>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189"/>
    <w:rsid w:val="00412A62"/>
    <w:rsid w:val="00412AE0"/>
    <w:rsid w:val="00412E69"/>
    <w:rsid w:val="00413E09"/>
    <w:rsid w:val="004152D0"/>
    <w:rsid w:val="00416AA7"/>
    <w:rsid w:val="00416B53"/>
    <w:rsid w:val="00416D82"/>
    <w:rsid w:val="0041705B"/>
    <w:rsid w:val="0042001E"/>
    <w:rsid w:val="00421083"/>
    <w:rsid w:val="004218FC"/>
    <w:rsid w:val="004229CC"/>
    <w:rsid w:val="004232DC"/>
    <w:rsid w:val="00423CFE"/>
    <w:rsid w:val="00427430"/>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81AFF"/>
    <w:rsid w:val="00483312"/>
    <w:rsid w:val="00485634"/>
    <w:rsid w:val="004865BC"/>
    <w:rsid w:val="00487B53"/>
    <w:rsid w:val="004918F2"/>
    <w:rsid w:val="00492A2C"/>
    <w:rsid w:val="00493FB0"/>
    <w:rsid w:val="00494DAE"/>
    <w:rsid w:val="004950AF"/>
    <w:rsid w:val="004958E9"/>
    <w:rsid w:val="00495B30"/>
    <w:rsid w:val="00496CCF"/>
    <w:rsid w:val="004974BE"/>
    <w:rsid w:val="004A04F3"/>
    <w:rsid w:val="004A279D"/>
    <w:rsid w:val="004A43BA"/>
    <w:rsid w:val="004B0977"/>
    <w:rsid w:val="004C0687"/>
    <w:rsid w:val="004C19A0"/>
    <w:rsid w:val="004C2CF7"/>
    <w:rsid w:val="004C5CD9"/>
    <w:rsid w:val="004C5EE2"/>
    <w:rsid w:val="004C7B24"/>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8E4"/>
    <w:rsid w:val="0053022D"/>
    <w:rsid w:val="005308C6"/>
    <w:rsid w:val="00531479"/>
    <w:rsid w:val="0053285B"/>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50DD"/>
    <w:rsid w:val="006866E9"/>
    <w:rsid w:val="00687F1C"/>
    <w:rsid w:val="006918FD"/>
    <w:rsid w:val="00697CF6"/>
    <w:rsid w:val="006A263B"/>
    <w:rsid w:val="006A2F3C"/>
    <w:rsid w:val="006A4012"/>
    <w:rsid w:val="006A450D"/>
    <w:rsid w:val="006A6633"/>
    <w:rsid w:val="006A683E"/>
    <w:rsid w:val="006A6B65"/>
    <w:rsid w:val="006B02E9"/>
    <w:rsid w:val="006B6699"/>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32B9"/>
    <w:rsid w:val="007A7605"/>
    <w:rsid w:val="007B3865"/>
    <w:rsid w:val="007B3DCA"/>
    <w:rsid w:val="007B487E"/>
    <w:rsid w:val="007B493C"/>
    <w:rsid w:val="007C0FA7"/>
    <w:rsid w:val="007C59BB"/>
    <w:rsid w:val="007C5E40"/>
    <w:rsid w:val="007D1244"/>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EDA"/>
    <w:rsid w:val="008327BE"/>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186E"/>
    <w:rsid w:val="00871D2C"/>
    <w:rsid w:val="0087599A"/>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E46EB"/>
    <w:rsid w:val="008E5CB7"/>
    <w:rsid w:val="008E70BF"/>
    <w:rsid w:val="008E7B8A"/>
    <w:rsid w:val="008F183D"/>
    <w:rsid w:val="008F3D58"/>
    <w:rsid w:val="008F7FAA"/>
    <w:rsid w:val="00901270"/>
    <w:rsid w:val="00910C6D"/>
    <w:rsid w:val="009111B9"/>
    <w:rsid w:val="009120A3"/>
    <w:rsid w:val="00912630"/>
    <w:rsid w:val="00914B61"/>
    <w:rsid w:val="00916925"/>
    <w:rsid w:val="00916EAC"/>
    <w:rsid w:val="009239C1"/>
    <w:rsid w:val="0092431C"/>
    <w:rsid w:val="00926C2C"/>
    <w:rsid w:val="00930E64"/>
    <w:rsid w:val="009347FC"/>
    <w:rsid w:val="00934B3F"/>
    <w:rsid w:val="00934E1E"/>
    <w:rsid w:val="0093702D"/>
    <w:rsid w:val="0093726A"/>
    <w:rsid w:val="00943035"/>
    <w:rsid w:val="00944BA9"/>
    <w:rsid w:val="00952D19"/>
    <w:rsid w:val="00953E58"/>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16C4"/>
    <w:rsid w:val="009C3B42"/>
    <w:rsid w:val="009C519E"/>
    <w:rsid w:val="009D0D88"/>
    <w:rsid w:val="009D2B69"/>
    <w:rsid w:val="009D2EA2"/>
    <w:rsid w:val="009D313D"/>
    <w:rsid w:val="009D37DF"/>
    <w:rsid w:val="009D4F77"/>
    <w:rsid w:val="009D6C0B"/>
    <w:rsid w:val="009E481A"/>
    <w:rsid w:val="009E49BD"/>
    <w:rsid w:val="009E6DCE"/>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52A08"/>
    <w:rsid w:val="00A53147"/>
    <w:rsid w:val="00A5446B"/>
    <w:rsid w:val="00A62990"/>
    <w:rsid w:val="00A63004"/>
    <w:rsid w:val="00A65245"/>
    <w:rsid w:val="00A658F7"/>
    <w:rsid w:val="00A664F0"/>
    <w:rsid w:val="00A66DE4"/>
    <w:rsid w:val="00A70BAB"/>
    <w:rsid w:val="00A71242"/>
    <w:rsid w:val="00A72AEA"/>
    <w:rsid w:val="00A73D81"/>
    <w:rsid w:val="00A74659"/>
    <w:rsid w:val="00A74754"/>
    <w:rsid w:val="00A74E23"/>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625E"/>
    <w:rsid w:val="00AB7ECE"/>
    <w:rsid w:val="00AC15C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4149"/>
    <w:rsid w:val="00B4632A"/>
    <w:rsid w:val="00B46805"/>
    <w:rsid w:val="00B4699F"/>
    <w:rsid w:val="00B47E4D"/>
    <w:rsid w:val="00B5121D"/>
    <w:rsid w:val="00B54486"/>
    <w:rsid w:val="00B54E2C"/>
    <w:rsid w:val="00B55889"/>
    <w:rsid w:val="00B57214"/>
    <w:rsid w:val="00B6525F"/>
    <w:rsid w:val="00B65A9D"/>
    <w:rsid w:val="00B71A01"/>
    <w:rsid w:val="00B743A2"/>
    <w:rsid w:val="00B74586"/>
    <w:rsid w:val="00B757B1"/>
    <w:rsid w:val="00B764F8"/>
    <w:rsid w:val="00B7726A"/>
    <w:rsid w:val="00B83119"/>
    <w:rsid w:val="00B91C06"/>
    <w:rsid w:val="00B923BC"/>
    <w:rsid w:val="00B96097"/>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22D8"/>
    <w:rsid w:val="00C52B54"/>
    <w:rsid w:val="00C53A66"/>
    <w:rsid w:val="00C53D89"/>
    <w:rsid w:val="00C56920"/>
    <w:rsid w:val="00C61987"/>
    <w:rsid w:val="00C651CF"/>
    <w:rsid w:val="00C6543B"/>
    <w:rsid w:val="00C65C28"/>
    <w:rsid w:val="00C6605B"/>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1D21"/>
    <w:rsid w:val="00C9342D"/>
    <w:rsid w:val="00C95050"/>
    <w:rsid w:val="00C95DD4"/>
    <w:rsid w:val="00C97831"/>
    <w:rsid w:val="00CA0596"/>
    <w:rsid w:val="00CA1058"/>
    <w:rsid w:val="00CA2541"/>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51EBE"/>
    <w:rsid w:val="00D52298"/>
    <w:rsid w:val="00D526EF"/>
    <w:rsid w:val="00D569AD"/>
    <w:rsid w:val="00D5766D"/>
    <w:rsid w:val="00D609A5"/>
    <w:rsid w:val="00D60B85"/>
    <w:rsid w:val="00D62DB0"/>
    <w:rsid w:val="00D62E75"/>
    <w:rsid w:val="00D63648"/>
    <w:rsid w:val="00D67B91"/>
    <w:rsid w:val="00D67F74"/>
    <w:rsid w:val="00D778B5"/>
    <w:rsid w:val="00D77D00"/>
    <w:rsid w:val="00D8197B"/>
    <w:rsid w:val="00D82763"/>
    <w:rsid w:val="00D82BC2"/>
    <w:rsid w:val="00D84DF3"/>
    <w:rsid w:val="00D85A0E"/>
    <w:rsid w:val="00D86557"/>
    <w:rsid w:val="00D87883"/>
    <w:rsid w:val="00D927FC"/>
    <w:rsid w:val="00D931ED"/>
    <w:rsid w:val="00D9323E"/>
    <w:rsid w:val="00D937B3"/>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D1E13E99-56FD-4238-A484-9D51AA9C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2</cp:revision>
  <cp:lastPrinted>2018-11-02T10:25:00Z</cp:lastPrinted>
  <dcterms:created xsi:type="dcterms:W3CDTF">2019-10-04T08:23:00Z</dcterms:created>
  <dcterms:modified xsi:type="dcterms:W3CDTF">2019-10-04T08:23:00Z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